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845" w:rsidRPr="004C603E" w:rsidRDefault="00246845" w:rsidP="002468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r w:rsidRPr="004C603E">
        <w:rPr>
          <w:b/>
        </w:rPr>
        <w:t>.  NAPIREND</w:t>
      </w:r>
    </w:p>
    <w:p w:rsidR="00246845" w:rsidRPr="004C603E" w:rsidRDefault="00246845" w:rsidP="002468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b/>
        </w:rPr>
      </w:pPr>
      <w:r w:rsidRPr="004C603E">
        <w:rPr>
          <w:b/>
        </w:rPr>
        <w:t>E l ő t e r j e s z t é s</w:t>
      </w:r>
    </w:p>
    <w:p w:rsidR="00246845" w:rsidRPr="004C603E" w:rsidRDefault="00246845" w:rsidP="002468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b/>
        </w:rPr>
      </w:pPr>
      <w:r>
        <w:rPr>
          <w:b/>
        </w:rPr>
        <w:t xml:space="preserve">Salföld Község Önkormányzata </w:t>
      </w:r>
      <w:r w:rsidRPr="004C603E">
        <w:rPr>
          <w:b/>
        </w:rPr>
        <w:t xml:space="preserve">Képviselő-testületének  </w:t>
      </w:r>
    </w:p>
    <w:p w:rsidR="00246845" w:rsidRPr="004C603E" w:rsidRDefault="00246845" w:rsidP="002468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b/>
        </w:rPr>
      </w:pPr>
      <w:r>
        <w:rPr>
          <w:b/>
        </w:rPr>
        <w:t xml:space="preserve">2018. </w:t>
      </w:r>
      <w:proofErr w:type="gramStart"/>
      <w:r>
        <w:rPr>
          <w:b/>
        </w:rPr>
        <w:t>február  19</w:t>
      </w:r>
      <w:proofErr w:type="gramEnd"/>
      <w:r w:rsidRPr="004C603E">
        <w:rPr>
          <w:b/>
        </w:rPr>
        <w:t xml:space="preserve">-i  nyilvános ülésére </w:t>
      </w:r>
    </w:p>
    <w:p w:rsidR="00246845" w:rsidRPr="004C603E" w:rsidRDefault="00246845" w:rsidP="002468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</w:p>
    <w:p w:rsidR="00246845" w:rsidRPr="004C603E" w:rsidRDefault="00246845" w:rsidP="002468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both"/>
        <w:rPr>
          <w:b/>
        </w:rPr>
      </w:pPr>
      <w:r w:rsidRPr="004C603E">
        <w:rPr>
          <w:b/>
          <w:u w:val="single"/>
        </w:rPr>
        <w:t>Tárgy:</w:t>
      </w:r>
      <w:r>
        <w:rPr>
          <w:b/>
        </w:rPr>
        <w:t xml:space="preserve"> Badacsonytomaj Város Önkormányzata Képviselő-testületének a gyermekvédelmi ellátásokról szóló önkormányzati rendelet megalkotásához hozzájárulás.</w:t>
      </w:r>
    </w:p>
    <w:p w:rsidR="00246845" w:rsidRPr="004C603E" w:rsidRDefault="00246845" w:rsidP="002468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proofErr w:type="gramStart"/>
      <w:r w:rsidRPr="004C603E">
        <w:rPr>
          <w:b/>
          <w:u w:val="single"/>
        </w:rPr>
        <w:t>Előterjesztő</w:t>
      </w:r>
      <w:r>
        <w:rPr>
          <w:b/>
        </w:rPr>
        <w:t xml:space="preserve">:   </w:t>
      </w:r>
      <w:proofErr w:type="gramEnd"/>
      <w:r>
        <w:rPr>
          <w:b/>
        </w:rPr>
        <w:t xml:space="preserve"> Fábián Gusztáv</w:t>
      </w:r>
      <w:r w:rsidRPr="004C603E">
        <w:rPr>
          <w:b/>
        </w:rPr>
        <w:t>, polgármester</w:t>
      </w:r>
    </w:p>
    <w:p w:rsidR="00246845" w:rsidRPr="004C603E" w:rsidRDefault="00246845" w:rsidP="002468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proofErr w:type="gramStart"/>
      <w:r w:rsidRPr="004C603E">
        <w:rPr>
          <w:b/>
          <w:u w:val="single"/>
        </w:rPr>
        <w:t>Előkészítette:</w:t>
      </w:r>
      <w:r w:rsidRPr="004C603E">
        <w:rPr>
          <w:b/>
        </w:rPr>
        <w:t xml:space="preserve">   </w:t>
      </w:r>
      <w:proofErr w:type="gramEnd"/>
      <w:r w:rsidRPr="004C603E">
        <w:rPr>
          <w:b/>
        </w:rPr>
        <w:t xml:space="preserve">Tóthné </w:t>
      </w:r>
      <w:proofErr w:type="spellStart"/>
      <w:r w:rsidRPr="004C603E">
        <w:rPr>
          <w:b/>
        </w:rPr>
        <w:t>Titz</w:t>
      </w:r>
      <w:proofErr w:type="spellEnd"/>
      <w:r w:rsidRPr="004C603E">
        <w:rPr>
          <w:b/>
        </w:rPr>
        <w:t xml:space="preserve"> Éva </w:t>
      </w:r>
      <w:r>
        <w:rPr>
          <w:b/>
        </w:rPr>
        <w:t>jegyzőt helyettesítő aljegyző</w:t>
      </w:r>
    </w:p>
    <w:p w:rsidR="00246845" w:rsidRPr="004C603E" w:rsidRDefault="00246845" w:rsidP="002468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</w:p>
    <w:p w:rsidR="00246845" w:rsidRPr="004C603E" w:rsidRDefault="00246845" w:rsidP="002468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</w:p>
    <w:p w:rsidR="00246845" w:rsidRPr="004C603E" w:rsidRDefault="00246845" w:rsidP="002468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</w:pPr>
      <w:r w:rsidRPr="004C603E">
        <w:rPr>
          <w:b/>
        </w:rPr>
        <w:t>----------------------------</w:t>
      </w:r>
      <w:r w:rsidRPr="004C603E">
        <w:rPr>
          <w:b/>
        </w:rPr>
        <w:tab/>
      </w:r>
      <w:r w:rsidRPr="004C603E">
        <w:rPr>
          <w:b/>
        </w:rPr>
        <w:tab/>
      </w:r>
      <w:r w:rsidRPr="004C603E">
        <w:rPr>
          <w:b/>
        </w:rPr>
        <w:tab/>
      </w:r>
      <w:r w:rsidRPr="004C603E">
        <w:rPr>
          <w:b/>
        </w:rPr>
        <w:tab/>
      </w:r>
      <w:r w:rsidRPr="004C603E">
        <w:rPr>
          <w:b/>
        </w:rPr>
        <w:tab/>
      </w:r>
      <w:r w:rsidRPr="004C603E">
        <w:t>Jogszabállyal nem ellentétes</w:t>
      </w:r>
    </w:p>
    <w:p w:rsidR="00246845" w:rsidRPr="004C603E" w:rsidRDefault="00246845" w:rsidP="002468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</w:pPr>
      <w:r w:rsidRPr="004C603E">
        <w:t xml:space="preserve">        Előterjesztő</w:t>
      </w:r>
    </w:p>
    <w:p w:rsidR="00246845" w:rsidRPr="004C603E" w:rsidRDefault="00246845" w:rsidP="002468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</w:pP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  <w:t>-----------------------------------</w:t>
      </w:r>
    </w:p>
    <w:p w:rsidR="00246845" w:rsidRPr="004C603E" w:rsidRDefault="00246845" w:rsidP="002468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</w:r>
      <w:r>
        <w:t xml:space="preserve">Tóthné </w:t>
      </w:r>
      <w:proofErr w:type="spellStart"/>
      <w:r>
        <w:t>Titz</w:t>
      </w:r>
      <w:proofErr w:type="spellEnd"/>
      <w:r>
        <w:t xml:space="preserve"> Éva</w:t>
      </w:r>
      <w:r w:rsidRPr="004C603E">
        <w:t xml:space="preserve"> jegyző</w:t>
      </w:r>
      <w:r>
        <w:t>t helyettesítő aljegyző</w:t>
      </w:r>
    </w:p>
    <w:p w:rsidR="00246845" w:rsidRDefault="00246845" w:rsidP="00246845">
      <w:pPr>
        <w:ind w:left="1416" w:hanging="1416"/>
        <w:rPr>
          <w:rFonts w:ascii="Garamond" w:hAnsi="Garamond" w:cs="Garamond"/>
          <w:b/>
          <w:bCs/>
          <w:sz w:val="22"/>
          <w:szCs w:val="22"/>
        </w:rPr>
      </w:pPr>
    </w:p>
    <w:p w:rsidR="00246845" w:rsidRPr="00EC0974" w:rsidRDefault="00246845" w:rsidP="00246845">
      <w:pPr>
        <w:ind w:left="1416" w:hanging="1416"/>
        <w:rPr>
          <w:rFonts w:ascii="Garamond" w:hAnsi="Garamond" w:cs="Garamond"/>
          <w:b/>
          <w:bCs/>
          <w:sz w:val="22"/>
          <w:szCs w:val="22"/>
        </w:rPr>
      </w:pPr>
      <w:r w:rsidRPr="00EC0974">
        <w:rPr>
          <w:rFonts w:ascii="Garamond" w:hAnsi="Garamond" w:cs="Garamond"/>
          <w:b/>
          <w:bCs/>
          <w:sz w:val="22"/>
          <w:szCs w:val="22"/>
        </w:rPr>
        <w:tab/>
      </w:r>
    </w:p>
    <w:p w:rsidR="00246845" w:rsidRPr="00EC0974" w:rsidRDefault="00246845" w:rsidP="00246845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sz w:val="22"/>
          <w:szCs w:val="22"/>
        </w:rPr>
      </w:pPr>
      <w:r w:rsidRPr="00EC0974">
        <w:rPr>
          <w:rFonts w:ascii="Garamond" w:hAnsi="Garamond" w:cs="Garamond"/>
          <w:b/>
          <w:bCs/>
          <w:sz w:val="22"/>
          <w:szCs w:val="22"/>
        </w:rPr>
        <w:t>Tisztelt Képviselő-testület!</w:t>
      </w:r>
    </w:p>
    <w:p w:rsidR="00246845" w:rsidRPr="00EC0974" w:rsidRDefault="00246845" w:rsidP="00246845">
      <w:pPr>
        <w:rPr>
          <w:rFonts w:ascii="Garamond" w:hAnsi="Garamond"/>
          <w:sz w:val="22"/>
          <w:szCs w:val="22"/>
        </w:rPr>
      </w:pPr>
    </w:p>
    <w:p w:rsidR="00246845" w:rsidRDefault="00246845" w:rsidP="00246845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Badacsonytomaji Közös Önkormányzati Hivatal Jegyzője tárgyalásra és elfogadásra megküldte a következő előterjesztést:</w:t>
      </w:r>
    </w:p>
    <w:p w:rsidR="00246845" w:rsidRPr="00EC0974" w:rsidRDefault="00246845" w:rsidP="00246845">
      <w:pPr>
        <w:jc w:val="both"/>
        <w:rPr>
          <w:rFonts w:ascii="Garamond" w:hAnsi="Garamond"/>
          <w:sz w:val="22"/>
          <w:szCs w:val="22"/>
        </w:rPr>
      </w:pPr>
      <w:r w:rsidRPr="00EC0974">
        <w:rPr>
          <w:rFonts w:ascii="Garamond" w:hAnsi="Garamond"/>
          <w:sz w:val="22"/>
          <w:szCs w:val="22"/>
        </w:rPr>
        <w:t xml:space="preserve">Az óvodai nevelési feladatok közös ellátásáról szóló Megállapodás (a továbbiakban: Társulási Megállapodás) 8. pontja rögzíti, hogy a Társult önkormányzatok (Ábrahámhegy, Badacsonytomaj, Salföld) megállapodnak abban, hogy a gyermekek védelméről és a gyámügyi igazgatásról szóló 1997. évi XXXI. törvény 29.§ (3) bekezdése értelmében </w:t>
      </w:r>
      <w:r w:rsidRPr="00EC0974">
        <w:rPr>
          <w:rFonts w:ascii="Garamond" w:hAnsi="Garamond" w:cs="Arial"/>
          <w:i/>
          <w:color w:val="000000"/>
          <w:sz w:val="22"/>
          <w:szCs w:val="22"/>
          <w:shd w:val="clear" w:color="auto" w:fill="FFFFFF"/>
        </w:rPr>
        <w:t>„Ha önkormányzati társulás gyermekjóléti, gyermekvédelmi ellátást nyújt, akkor a társulási megállapodásban megjelölt székhely szerinti települési önkormányzat - a társulási megállapodásban meghatározottak szerint - a nyújtott ellátásokról, azok igénybevételéről és a fizetendő térítési díjakról rendeletet alkot.”</w:t>
      </w:r>
    </w:p>
    <w:p w:rsidR="00246845" w:rsidRPr="00EC0974" w:rsidRDefault="00246845" w:rsidP="00246845">
      <w:pPr>
        <w:jc w:val="both"/>
        <w:rPr>
          <w:rFonts w:ascii="Garamond" w:hAnsi="Garamond"/>
          <w:sz w:val="22"/>
          <w:szCs w:val="22"/>
        </w:rPr>
      </w:pPr>
      <w:r w:rsidRPr="00EC0974">
        <w:rPr>
          <w:rFonts w:ascii="Garamond" w:hAnsi="Garamond"/>
          <w:b/>
          <w:sz w:val="22"/>
          <w:szCs w:val="22"/>
        </w:rPr>
        <w:t>A rendelet tervezetet annak elfogadását megelőzően a Társulásban részt vevő önkormányzatok előzetesen véleményezik</w:t>
      </w:r>
      <w:r w:rsidRPr="00EC0974">
        <w:rPr>
          <w:rFonts w:ascii="Garamond" w:hAnsi="Garamond"/>
          <w:sz w:val="22"/>
          <w:szCs w:val="22"/>
        </w:rPr>
        <w:t>.</w:t>
      </w:r>
    </w:p>
    <w:p w:rsidR="00246845" w:rsidRPr="00EC0974" w:rsidRDefault="00246845" w:rsidP="00246845">
      <w:pPr>
        <w:jc w:val="both"/>
        <w:rPr>
          <w:rFonts w:ascii="Garamond" w:hAnsi="Garamond" w:cs="BookAntiquaOOEnc"/>
          <w:sz w:val="22"/>
          <w:szCs w:val="22"/>
        </w:rPr>
      </w:pPr>
    </w:p>
    <w:p w:rsidR="00246845" w:rsidRPr="00EC0974" w:rsidRDefault="00246845" w:rsidP="00246845">
      <w:pPr>
        <w:jc w:val="both"/>
        <w:rPr>
          <w:rFonts w:ascii="Garamond" w:hAnsi="Garamond" w:cs="Times"/>
          <w:sz w:val="22"/>
          <w:szCs w:val="22"/>
        </w:rPr>
      </w:pPr>
      <w:r w:rsidRPr="00EC0974">
        <w:rPr>
          <w:rFonts w:ascii="Garamond" w:hAnsi="Garamond" w:cs="BookAntiquaOOEnc"/>
          <w:sz w:val="22"/>
          <w:szCs w:val="22"/>
        </w:rPr>
        <w:t xml:space="preserve">A gyermekek védelméről és a gyámügyi igazgatásról szóló 1997. évi XXXI. törvény – a továbbiakban: Gyvt. – 146-151.§-a rendelkezik a személyes gondoskodást nyújtó gyermekjóléti alapellátás keretében biztosított </w:t>
      </w:r>
      <w:r w:rsidRPr="00EC0974">
        <w:rPr>
          <w:rFonts w:ascii="Garamond" w:hAnsi="Garamond" w:cs="Times"/>
          <w:sz w:val="22"/>
          <w:szCs w:val="22"/>
        </w:rPr>
        <w:t xml:space="preserve">gyermekek napközbeni ellátásáért és gyermekek átmeneti gondozásáért, valamint a személyes gondoskodást nyújtó gyermekvédelmi szakellátás keretében biztosított utógondozói ellátásért fizetendő térítési díj rendszeréről. </w:t>
      </w:r>
    </w:p>
    <w:p w:rsidR="00246845" w:rsidRPr="00EC0974" w:rsidRDefault="00246845" w:rsidP="00246845">
      <w:pPr>
        <w:autoSpaceDE w:val="0"/>
        <w:autoSpaceDN w:val="0"/>
        <w:adjustRightInd w:val="0"/>
        <w:jc w:val="both"/>
        <w:rPr>
          <w:rFonts w:ascii="Garamond" w:hAnsi="Garamond" w:cs="Times"/>
          <w:sz w:val="22"/>
          <w:szCs w:val="22"/>
        </w:rPr>
      </w:pPr>
    </w:p>
    <w:p w:rsidR="00246845" w:rsidRPr="00EC0974" w:rsidRDefault="00246845" w:rsidP="00246845">
      <w:pPr>
        <w:autoSpaceDE w:val="0"/>
        <w:autoSpaceDN w:val="0"/>
        <w:adjustRightInd w:val="0"/>
        <w:jc w:val="both"/>
        <w:rPr>
          <w:rFonts w:ascii="Garamond" w:hAnsi="Garamond" w:cs="Times"/>
          <w:sz w:val="22"/>
          <w:szCs w:val="22"/>
        </w:rPr>
      </w:pPr>
      <w:r w:rsidRPr="00EC0974">
        <w:rPr>
          <w:rFonts w:ascii="Garamond" w:hAnsi="Garamond" w:cs="Times"/>
          <w:sz w:val="22"/>
          <w:szCs w:val="22"/>
        </w:rPr>
        <w:t>A Gyvt. 147.§-a alapján: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bCs/>
          <w:i/>
          <w:color w:val="000000"/>
          <w:sz w:val="22"/>
          <w:szCs w:val="22"/>
        </w:rPr>
        <w:t>„147. § </w:t>
      </w:r>
      <w:r w:rsidRPr="00EC0974">
        <w:rPr>
          <w:rFonts w:ascii="Garamond" w:hAnsi="Garamond" w:cs="Arial"/>
          <w:i/>
          <w:color w:val="000000"/>
          <w:sz w:val="22"/>
          <w:szCs w:val="22"/>
        </w:rPr>
        <w:t>(1) A fenntartó jogszabályban meghatározottak szerint megállapítja a </w:t>
      </w:r>
      <w:hyperlink r:id="rId6" w:anchor="sid1091328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146. § (1) bekezdése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 szerinti ellátások intézményi térítési díját, amely - a gyermekétkeztetés kivételével - a szolgáltatási önköltség és a központi költségvetésről szóló törvényben biztosított támogatás különbözete.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(2) A bölcsőde, mini bölcsőde esetében az intézményi térítési díjat külön meg kell határozni a gyermek gondozására, nevelésére, nappali felügyeletére és a vele történő foglalkozásra (a továbbiakban együtt: gondozására), valamint a </w:t>
      </w:r>
      <w:hyperlink r:id="rId7" w:anchor="sid1680384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151. § (3) bekezdésében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 foglaltak szerint a gyermekétkeztetésre vonatkozóan.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(3) A szolgáltatási önköltséget a tárgyévre tervezett adatok alapján a tárgyév április elsejéig kell megállapítani. A szolgáltatási önköltség év közben egy alkalommal korrigálható, ha azt a tárgyidőszaki folyamatok indokolják.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(4) A fenntartó az intézményi térítési díjat az </w:t>
      </w:r>
      <w:hyperlink r:id="rId8" w:anchor="sid1104128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(1) bekezdés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 szerint kiszámított és külön jogszabály szerint dokumentált térítési díjnál alacsonyabb összegben is meghatározhatja.”</w:t>
      </w:r>
    </w:p>
    <w:p w:rsidR="00246845" w:rsidRPr="00EC0974" w:rsidRDefault="00246845" w:rsidP="00246845">
      <w:pPr>
        <w:autoSpaceDE w:val="0"/>
        <w:autoSpaceDN w:val="0"/>
        <w:adjustRightInd w:val="0"/>
        <w:jc w:val="both"/>
        <w:rPr>
          <w:rFonts w:ascii="Garamond" w:hAnsi="Garamond" w:cs="Times"/>
          <w:sz w:val="22"/>
          <w:szCs w:val="22"/>
        </w:rPr>
      </w:pPr>
    </w:p>
    <w:p w:rsidR="00246845" w:rsidRPr="00EC0974" w:rsidRDefault="00246845" w:rsidP="00246845">
      <w:pPr>
        <w:autoSpaceDE w:val="0"/>
        <w:autoSpaceDN w:val="0"/>
        <w:adjustRightInd w:val="0"/>
        <w:jc w:val="both"/>
        <w:rPr>
          <w:rFonts w:ascii="Garamond" w:hAnsi="Garamond" w:cs="Times"/>
          <w:sz w:val="22"/>
          <w:szCs w:val="22"/>
        </w:rPr>
      </w:pPr>
      <w:r w:rsidRPr="00EC0974">
        <w:rPr>
          <w:rFonts w:ascii="Garamond" w:hAnsi="Garamond" w:cs="Times"/>
          <w:sz w:val="22"/>
          <w:szCs w:val="22"/>
        </w:rPr>
        <w:t>A Gyvt. 149.§-a alapján:</w:t>
      </w:r>
    </w:p>
    <w:p w:rsidR="00246845" w:rsidRPr="00EC0974" w:rsidRDefault="00246845" w:rsidP="00246845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EC0974">
        <w:rPr>
          <w:rFonts w:ascii="Garamond" w:hAnsi="Garamond"/>
          <w:i/>
          <w:sz w:val="22"/>
          <w:szCs w:val="22"/>
        </w:rPr>
        <w:t>„</w:t>
      </w:r>
      <w:r w:rsidRPr="00EC0974">
        <w:rPr>
          <w:rFonts w:ascii="Garamond" w:hAnsi="Garamond" w:cs="Arial"/>
          <w:i/>
          <w:color w:val="000000"/>
          <w:sz w:val="22"/>
          <w:szCs w:val="22"/>
          <w:shd w:val="clear" w:color="auto" w:fill="FFFFFF"/>
        </w:rPr>
        <w:t>Térítésmentesen kell biztosítani a Biztos Kezdet Gyerekház, a gyermekjóléti szolgálat és a gyermekjóléti központ e törvényben meghatározott szolgáltatásait, amely esetekben intézményi térítési díjat sem kell megállapítani.”</w:t>
      </w:r>
    </w:p>
    <w:p w:rsidR="00246845" w:rsidRPr="00EC0974" w:rsidRDefault="00246845" w:rsidP="00246845">
      <w:pPr>
        <w:autoSpaceDE w:val="0"/>
        <w:autoSpaceDN w:val="0"/>
        <w:adjustRightInd w:val="0"/>
        <w:jc w:val="both"/>
        <w:rPr>
          <w:rFonts w:ascii="Garamond" w:hAnsi="Garamond" w:cs="Times"/>
          <w:i/>
          <w:color w:val="FF0000"/>
          <w:sz w:val="22"/>
          <w:szCs w:val="22"/>
        </w:rPr>
      </w:pP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color w:val="000000"/>
          <w:sz w:val="22"/>
          <w:szCs w:val="22"/>
        </w:rPr>
      </w:pPr>
      <w:r w:rsidRPr="00EC0974">
        <w:rPr>
          <w:rFonts w:ascii="Garamond" w:hAnsi="Garamond" w:cs="Times"/>
          <w:sz w:val="22"/>
          <w:szCs w:val="22"/>
        </w:rPr>
        <w:t xml:space="preserve">A Gyvt. </w:t>
      </w:r>
      <w:r w:rsidRPr="00EC0974">
        <w:rPr>
          <w:rFonts w:ascii="Garamond" w:hAnsi="Garamond" w:cs="Times"/>
          <w:bCs/>
          <w:sz w:val="22"/>
          <w:szCs w:val="22"/>
        </w:rPr>
        <w:t>151.§</w:t>
      </w:r>
      <w:bookmarkStart w:id="0" w:name="foot_620_place"/>
      <w:bookmarkEnd w:id="0"/>
      <w:r w:rsidRPr="00EC0974">
        <w:rPr>
          <w:rStyle w:val="apple-converted-space"/>
          <w:rFonts w:ascii="Garamond" w:hAnsi="Garamond" w:cs="Times"/>
          <w:sz w:val="22"/>
          <w:szCs w:val="22"/>
        </w:rPr>
        <w:t> 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lastRenderedPageBreak/>
        <w:t>„(2) 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(2a) 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(2b) 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(2c) </w:t>
      </w:r>
      <w:r w:rsidRPr="00EC0974">
        <w:rPr>
          <w:rFonts w:ascii="Garamond" w:hAnsi="Garamond" w:cs="Arial"/>
          <w:i/>
          <w:color w:val="000000"/>
          <w:sz w:val="22"/>
          <w:szCs w:val="22"/>
          <w:vertAlign w:val="superscript"/>
        </w:rPr>
        <w:t> 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(2d) 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(2e) 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(2f)</w:t>
      </w:r>
      <w:r w:rsidRPr="00EC0974">
        <w:rPr>
          <w:rFonts w:ascii="Garamond" w:hAnsi="Garamond" w:cs="Arial"/>
          <w:i/>
          <w:color w:val="000000"/>
          <w:sz w:val="22"/>
          <w:szCs w:val="22"/>
          <w:vertAlign w:val="superscript"/>
        </w:rPr>
        <w:t> </w:t>
      </w:r>
      <w:r w:rsidRPr="00EC0974">
        <w:rPr>
          <w:rFonts w:ascii="Garamond" w:hAnsi="Garamond" w:cs="Arial"/>
          <w:i/>
          <w:color w:val="000000"/>
          <w:sz w:val="22"/>
          <w:szCs w:val="22"/>
        </w:rPr>
        <w:t>Ha a </w:t>
      </w:r>
      <w:hyperlink r:id="rId9" w:anchor="sid2634240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21/A. § (1)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, </w:t>
      </w:r>
      <w:hyperlink r:id="rId10" w:anchor="sid2639872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(4)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 és </w:t>
      </w:r>
      <w:hyperlink r:id="rId11" w:anchor="sid2643456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(6) bekezdése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 szerinti gyermekétkeztetést a települési önkormányzat biztosítja, úgy az intézményi térítési díjat a települési önkormányzat állapítja meg.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(3) A gyermekétkeztetés intézményi térítési díjának alapja az élelmezés nyersanyagköltségének egy ellátottra jutó napi összege.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(3a) Ha a fenntartó vagy a települési önkormányzat a gyermekétkeztetést vásárolt szolgáltatás útján biztosítja, az intézményi térítési díj megállapítása érdekében az étkeztetést biztosító szolgáltató köteles elkülönítetten kimutatni a gyermekétkeztetéssel összefüggésben felmerülő nyersanyagköltséget.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(4) A gyermekétkeztetés személyi térítési díját az intézményvezető a </w:t>
      </w:r>
      <w:hyperlink r:id="rId12" w:anchor="sid1669120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(3) bekezdés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 szerinti napi összeg általános forgalmi adóval növelt összegének és az igénybe vett étkezések számának, valamint az </w:t>
      </w:r>
      <w:hyperlink r:id="rId13" w:anchor="sid2644224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21/B. §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-ban megjelölt normatív kedvezményeknek a figyelembevételével állapítja meg. Ha a fenntartó kizárólag a bölcsődében, mini bölcsődében nyújtott bölcsődei ellátás keretében biztosított gyermekétkeztetésre állapít meg személyi térítési díjat, a személyi térítési díj meghatározásánál a </w:t>
      </w:r>
      <w:hyperlink r:id="rId14" w:anchor="sid1135872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150. § (1)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-</w:t>
      </w:r>
      <w:hyperlink r:id="rId15" w:anchor="sid1669120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(3) bekezdését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 nem kell alkalmazni.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(4a) Ha az étkeztetési feladatot települési önkormányzat látja el, a </w:t>
      </w:r>
      <w:hyperlink r:id="rId16" w:anchor="sid1680896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(4) bekezdés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 alkalmazásában intézményvezető alatt a települési önkormányzat azon intézményének vezetőjét kell érteni, amely a gyermekétkeztetést biztosítja. Ha a kötelezett a személyi térítési díjat vitatja, illetve annak csökkentését vagy elengedését kéri, a személyi térítési díj összegéről történő értesítés kézhezvételétől számított nyolc napon belül a települési önkormányzathoz fordulhat. Ha a települési önkormányzat intézmény közreműködése nélkül biztosítja a gyermekétkeztetést, a személyi térítési díj megállapítására, annak vitatására, csökkentésére és elengedésére vonatkozó szabályokat rendeletében állapítja meg.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(5) 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(5a) 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(5b) 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(6) 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(7) </w:t>
      </w:r>
      <w:r w:rsidRPr="00EC0974">
        <w:rPr>
          <w:rFonts w:ascii="Garamond" w:hAnsi="Garamond" w:cs="Arial"/>
          <w:i/>
          <w:color w:val="000000"/>
          <w:sz w:val="22"/>
          <w:szCs w:val="22"/>
          <w:vertAlign w:val="superscript"/>
        </w:rPr>
        <w:t> 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(8) 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(9) A gyermek lakóhelye szerint illetékes önkormányzat, illetve - ha a gyermek nem állami fenntartású nevelési-oktatási intézményben részesül étkezésben - a nevelési-oktatási intézmény vezetője - a nem állami fenntartó által megállapított szabályok keretei között - a gyermek egyéni rászorultsága alapján </w:t>
      </w:r>
      <w:hyperlink r:id="rId17" w:anchor="sid2644224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21/B. §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-ban foglaltakon kívül, illetve a </w:t>
      </w:r>
      <w:hyperlink r:id="rId18" w:anchor="sid2661632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21/C. § (1) bekezdés b) pontja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 szerinti gyermekek számára további étkeztetési kedvezményt állapíthat meg.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(10) </w:t>
      </w:r>
      <w:r w:rsidRPr="00EC0974">
        <w:rPr>
          <w:rFonts w:ascii="Garamond" w:hAnsi="Garamond" w:cs="Arial"/>
          <w:i/>
          <w:color w:val="000000"/>
          <w:sz w:val="22"/>
          <w:szCs w:val="22"/>
          <w:vertAlign w:val="superscript"/>
        </w:rPr>
        <w:t> 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(10a) Az </w:t>
      </w:r>
      <w:hyperlink r:id="rId19" w:anchor="sid1681920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(5) bekezdés a) pont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 ad) alpontjában meghatározott összeg számításánál - a kérelem benyújtásának időpontjában - közös háztartásban élő családtagként kell figyelembe venni az egy lakásban együtt lakó, ott bejelentett lakóhellyel vagy tartózkodási hellyel rendelkező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a) szülőt, a szülő házastársát vagy élettársát,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b) </w:t>
      </w:r>
      <w:hyperlink r:id="rId20" w:anchor="sid1688576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(10) bekezdés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 szerinti gyermeket,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c) az </w:t>
      </w:r>
      <w:hyperlink r:id="rId21" w:anchor="sid2552576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a)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 és </w:t>
      </w:r>
      <w:hyperlink r:id="rId22" w:anchor="sid2553344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b) pontba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 nem tartozó, a </w:t>
      </w:r>
      <w:hyperlink r:id="rId23" w:anchor="sid256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Ptk.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 családjogra irányadó szabályai alapján a szülő vagy házastársa által eltartott rokont.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(10</w:t>
      </w:r>
      <w:proofErr w:type="gramStart"/>
      <w:r w:rsidRPr="00EC0974">
        <w:rPr>
          <w:rFonts w:ascii="Garamond" w:hAnsi="Garamond" w:cs="Arial"/>
          <w:i/>
          <w:color w:val="000000"/>
          <w:sz w:val="22"/>
          <w:szCs w:val="22"/>
        </w:rPr>
        <w:t>b)  A</w:t>
      </w:r>
      <w:proofErr w:type="gramEnd"/>
      <w:r w:rsidRPr="00EC0974">
        <w:rPr>
          <w:rFonts w:ascii="Garamond" w:hAnsi="Garamond" w:cs="Arial"/>
          <w:i/>
          <w:color w:val="000000"/>
          <w:sz w:val="22"/>
          <w:szCs w:val="22"/>
        </w:rPr>
        <w:t xml:space="preserve"> </w:t>
      </w:r>
      <w:proofErr w:type="spellStart"/>
      <w:r w:rsidRPr="00EC0974">
        <w:rPr>
          <w:rFonts w:ascii="Garamond" w:hAnsi="Garamond" w:cs="Arial"/>
          <w:i/>
          <w:color w:val="000000"/>
          <w:sz w:val="22"/>
          <w:szCs w:val="22"/>
        </w:rPr>
        <w:t>családbafogadó</w:t>
      </w:r>
      <w:proofErr w:type="spellEnd"/>
      <w:r w:rsidRPr="00EC0974">
        <w:rPr>
          <w:rFonts w:ascii="Garamond" w:hAnsi="Garamond" w:cs="Arial"/>
          <w:i/>
          <w:color w:val="000000"/>
          <w:sz w:val="22"/>
          <w:szCs w:val="22"/>
        </w:rPr>
        <w:t xml:space="preserve"> gyám a saját és a gyámsága alatt álló gyermek tekintetében is kérheti az ingyenes vagy kedvezményes étkezésre való jogosultság megállapítását, ha az </w:t>
      </w:r>
      <w:hyperlink r:id="rId24" w:anchor="sid1681408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(5)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 vagy </w:t>
      </w:r>
      <w:hyperlink r:id="rId25" w:anchor="sid2549760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(5a) bekezdésben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 meghatározott feltételek valamelyik gyermek tekintetében fennállnak. Az </w:t>
      </w:r>
      <w:hyperlink r:id="rId26" w:anchor="sid1681920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(5) bekezdés a) pont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 </w:t>
      </w:r>
      <w:proofErr w:type="spellStart"/>
      <w:r w:rsidRPr="00EC0974">
        <w:rPr>
          <w:rFonts w:ascii="Garamond" w:hAnsi="Garamond" w:cs="Arial"/>
          <w:i/>
          <w:color w:val="000000"/>
          <w:sz w:val="22"/>
          <w:szCs w:val="22"/>
        </w:rPr>
        <w:t>ac</w:t>
      </w:r>
      <w:proofErr w:type="spellEnd"/>
      <w:r w:rsidRPr="00EC0974">
        <w:rPr>
          <w:rFonts w:ascii="Garamond" w:hAnsi="Garamond" w:cs="Arial"/>
          <w:i/>
          <w:color w:val="000000"/>
          <w:sz w:val="22"/>
          <w:szCs w:val="22"/>
        </w:rPr>
        <w:t>) alpontja és az </w:t>
      </w:r>
      <w:hyperlink r:id="rId27" w:anchor="sid2550528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(5a) bekezdés b) pontja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 xml:space="preserve"> szerinti esetben a </w:t>
      </w:r>
      <w:proofErr w:type="spellStart"/>
      <w:r w:rsidRPr="00EC0974">
        <w:rPr>
          <w:rFonts w:ascii="Garamond" w:hAnsi="Garamond" w:cs="Arial"/>
          <w:i/>
          <w:color w:val="000000"/>
          <w:sz w:val="22"/>
          <w:szCs w:val="22"/>
        </w:rPr>
        <w:t>családbafogadó</w:t>
      </w:r>
      <w:proofErr w:type="spellEnd"/>
      <w:r w:rsidRPr="00EC0974">
        <w:rPr>
          <w:rFonts w:ascii="Garamond" w:hAnsi="Garamond" w:cs="Arial"/>
          <w:i/>
          <w:color w:val="000000"/>
          <w:sz w:val="22"/>
          <w:szCs w:val="22"/>
        </w:rPr>
        <w:t xml:space="preserve"> gyám saját gyermekeinek és a gyámsága alatt álló gyermekeknek a számát össze kell adni. A </w:t>
      </w:r>
      <w:hyperlink r:id="rId28" w:anchor="sid2552320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(10a) bekezdés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 xml:space="preserve"> alkalmazásában szülő alatt a </w:t>
      </w:r>
      <w:proofErr w:type="spellStart"/>
      <w:r w:rsidRPr="00EC0974">
        <w:rPr>
          <w:rFonts w:ascii="Garamond" w:hAnsi="Garamond" w:cs="Arial"/>
          <w:i/>
          <w:color w:val="000000"/>
          <w:sz w:val="22"/>
          <w:szCs w:val="22"/>
        </w:rPr>
        <w:t>családbafogadó</w:t>
      </w:r>
      <w:proofErr w:type="spellEnd"/>
      <w:r w:rsidRPr="00EC0974">
        <w:rPr>
          <w:rFonts w:ascii="Garamond" w:hAnsi="Garamond" w:cs="Arial"/>
          <w:i/>
          <w:color w:val="000000"/>
          <w:sz w:val="22"/>
          <w:szCs w:val="22"/>
        </w:rPr>
        <w:t xml:space="preserve"> gyámot is érteni kell.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(11) </w:t>
      </w:r>
    </w:p>
    <w:p w:rsidR="00246845" w:rsidRPr="00EC0974" w:rsidRDefault="00246845" w:rsidP="002468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EC0974">
        <w:rPr>
          <w:rFonts w:ascii="Garamond" w:hAnsi="Garamond" w:cs="Arial"/>
          <w:i/>
          <w:color w:val="000000"/>
          <w:sz w:val="22"/>
          <w:szCs w:val="22"/>
        </w:rPr>
        <w:t>(12) Gyermekétkeztetés esetén a </w:t>
      </w:r>
      <w:hyperlink r:id="rId29" w:anchor="sid1091328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146.§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-</w:t>
      </w:r>
      <w:hyperlink r:id="rId30" w:anchor="sid256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t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, a </w:t>
      </w:r>
      <w:hyperlink r:id="rId31" w:anchor="sid1099520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147.§ (4) bekezdését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, a </w:t>
      </w:r>
      <w:hyperlink r:id="rId32" w:anchor="sid1107456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148.§ (1)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, </w:t>
      </w:r>
      <w:hyperlink r:id="rId33" w:anchor="sid1110272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(4)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, </w:t>
      </w:r>
      <w:hyperlink r:id="rId34" w:anchor="sid1121792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(5)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, </w:t>
      </w:r>
      <w:hyperlink r:id="rId35" w:anchor="sid1127424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(8)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 és </w:t>
      </w:r>
      <w:hyperlink r:id="rId36" w:anchor="sid1130752" w:history="1">
        <w:r w:rsidRPr="00EC0974">
          <w:rPr>
            <w:rFonts w:ascii="Garamond" w:hAnsi="Garamond" w:cs="Arial"/>
            <w:bCs/>
            <w:i/>
            <w:color w:val="000000"/>
            <w:sz w:val="22"/>
            <w:szCs w:val="22"/>
          </w:rPr>
          <w:t>(9) bekezdését</w:t>
        </w:r>
      </w:hyperlink>
      <w:r w:rsidRPr="00EC0974">
        <w:rPr>
          <w:rFonts w:ascii="Garamond" w:hAnsi="Garamond" w:cs="Arial"/>
          <w:i/>
          <w:color w:val="000000"/>
          <w:sz w:val="22"/>
          <w:szCs w:val="22"/>
        </w:rPr>
        <w:t> alkalmazni kell.”</w:t>
      </w:r>
    </w:p>
    <w:p w:rsidR="00246845" w:rsidRPr="00EC0974" w:rsidRDefault="00246845" w:rsidP="00246845">
      <w:pPr>
        <w:pStyle w:val="NormlWeb"/>
        <w:spacing w:before="0" w:beforeAutospacing="0" w:after="0" w:afterAutospacing="0"/>
        <w:ind w:right="131"/>
        <w:jc w:val="both"/>
        <w:rPr>
          <w:rFonts w:ascii="Garamond" w:hAnsi="Garamond" w:cs="Arial"/>
          <w:sz w:val="22"/>
          <w:szCs w:val="22"/>
        </w:rPr>
      </w:pPr>
    </w:p>
    <w:p w:rsidR="00246845" w:rsidRPr="00EC0974" w:rsidRDefault="00246845" w:rsidP="00246845">
      <w:pPr>
        <w:jc w:val="both"/>
        <w:rPr>
          <w:rFonts w:ascii="Garamond" w:hAnsi="Garamond" w:cs="Arial"/>
          <w:sz w:val="22"/>
          <w:szCs w:val="22"/>
        </w:rPr>
      </w:pPr>
      <w:r w:rsidRPr="00EC0974">
        <w:rPr>
          <w:rFonts w:ascii="Garamond" w:hAnsi="Garamond" w:cs="Arial"/>
          <w:sz w:val="22"/>
          <w:szCs w:val="22"/>
        </w:rPr>
        <w:t xml:space="preserve">A fenti jogszabályhelyek előírásaira tekintettel a MENÜ Kft. üzemeltetésben működő konyha élelmezésvezetője kimutatást készített a gyermekek után fizetendő étkezési térítési díjak megállapításához kapcsolódó költségekről. </w:t>
      </w:r>
    </w:p>
    <w:p w:rsidR="00246845" w:rsidRPr="00EC0974" w:rsidRDefault="00246845" w:rsidP="00246845">
      <w:pPr>
        <w:pStyle w:val="NormlWeb"/>
        <w:spacing w:before="0" w:beforeAutospacing="0" w:after="0" w:afterAutospacing="0"/>
        <w:ind w:right="131"/>
        <w:jc w:val="both"/>
        <w:rPr>
          <w:rFonts w:ascii="Garamond" w:hAnsi="Garamond"/>
          <w:sz w:val="22"/>
          <w:szCs w:val="22"/>
        </w:rPr>
      </w:pPr>
    </w:p>
    <w:p w:rsidR="00246845" w:rsidRPr="00EC0974" w:rsidRDefault="00246845" w:rsidP="00246845">
      <w:pPr>
        <w:jc w:val="both"/>
        <w:rPr>
          <w:rFonts w:ascii="Garamond" w:hAnsi="Garamond"/>
          <w:sz w:val="22"/>
          <w:szCs w:val="22"/>
        </w:rPr>
      </w:pPr>
      <w:r w:rsidRPr="00EC0974">
        <w:rPr>
          <w:rFonts w:ascii="Garamond" w:hAnsi="Garamond"/>
          <w:sz w:val="22"/>
          <w:szCs w:val="22"/>
        </w:rPr>
        <w:t xml:space="preserve">A javasolt intézményi térítési díjak változása miatt és a jogszabályban meghatározott határidők okán szükséges módosítani </w:t>
      </w:r>
      <w:r>
        <w:rPr>
          <w:rFonts w:ascii="Garamond" w:hAnsi="Garamond"/>
          <w:sz w:val="22"/>
          <w:szCs w:val="22"/>
        </w:rPr>
        <w:t>Badacsonytomaj Város Önkormányzata Képviselő-testületének e tárgykörben elfogadott önkormányzati rendeletét.</w:t>
      </w:r>
    </w:p>
    <w:p w:rsidR="00246845" w:rsidRPr="00EC0974" w:rsidRDefault="00246845" w:rsidP="00246845">
      <w:pPr>
        <w:jc w:val="both"/>
        <w:rPr>
          <w:rFonts w:ascii="Garamond" w:hAnsi="Garamond"/>
          <w:sz w:val="22"/>
          <w:szCs w:val="22"/>
        </w:rPr>
      </w:pPr>
    </w:p>
    <w:p w:rsidR="00246845" w:rsidRPr="00EC0974" w:rsidRDefault="00246845" w:rsidP="00246845">
      <w:pPr>
        <w:jc w:val="both"/>
        <w:rPr>
          <w:rFonts w:ascii="Garamond" w:hAnsi="Garamond"/>
          <w:sz w:val="22"/>
          <w:szCs w:val="22"/>
        </w:rPr>
      </w:pPr>
      <w:r w:rsidRPr="00EC0974">
        <w:rPr>
          <w:rFonts w:ascii="Garamond" w:hAnsi="Garamond"/>
          <w:sz w:val="22"/>
          <w:szCs w:val="22"/>
        </w:rPr>
        <w:t>A nyersanyag és egyéb költséget a gyermekétkeztetés esetén a szolgáltató számolja ki, mely az alábbiak szerint alakul és melynek elfogadását kezdeményezte:</w:t>
      </w:r>
    </w:p>
    <w:p w:rsidR="00246845" w:rsidRPr="00EC0974" w:rsidRDefault="00246845" w:rsidP="00246845">
      <w:pPr>
        <w:jc w:val="both"/>
        <w:rPr>
          <w:rFonts w:ascii="Garamond" w:hAnsi="Garamond"/>
          <w:sz w:val="22"/>
          <w:szCs w:val="22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275"/>
        <w:gridCol w:w="1292"/>
        <w:gridCol w:w="1417"/>
        <w:gridCol w:w="992"/>
        <w:gridCol w:w="1418"/>
      </w:tblGrid>
      <w:tr w:rsidR="00246845" w:rsidRPr="00306279" w:rsidTr="00FC02B1">
        <w:tc>
          <w:tcPr>
            <w:tcW w:w="3369" w:type="dxa"/>
            <w:shd w:val="clear" w:color="auto" w:fill="auto"/>
          </w:tcPr>
          <w:p w:rsidR="00246845" w:rsidRPr="00EC0974" w:rsidRDefault="00246845" w:rsidP="00FC02B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6845" w:rsidRPr="00306279" w:rsidRDefault="00246845" w:rsidP="00FC02B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Nyersanyag</w:t>
            </w:r>
          </w:p>
        </w:tc>
        <w:tc>
          <w:tcPr>
            <w:tcW w:w="1292" w:type="dxa"/>
            <w:shd w:val="clear" w:color="auto" w:fill="auto"/>
          </w:tcPr>
          <w:p w:rsidR="00246845" w:rsidRPr="00306279" w:rsidRDefault="00246845" w:rsidP="00FC02B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Rezsiköltség</w:t>
            </w:r>
          </w:p>
        </w:tc>
        <w:tc>
          <w:tcPr>
            <w:tcW w:w="1417" w:type="dxa"/>
            <w:shd w:val="clear" w:color="auto" w:fill="auto"/>
          </w:tcPr>
          <w:p w:rsidR="00246845" w:rsidRPr="00306279" w:rsidRDefault="00246845" w:rsidP="00FC02B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Nettó ár (Ft)</w:t>
            </w:r>
          </w:p>
        </w:tc>
        <w:tc>
          <w:tcPr>
            <w:tcW w:w="992" w:type="dxa"/>
            <w:shd w:val="clear" w:color="auto" w:fill="auto"/>
          </w:tcPr>
          <w:p w:rsidR="00246845" w:rsidRPr="00306279" w:rsidRDefault="00246845" w:rsidP="00FC02B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Áfa (Ft)</w:t>
            </w:r>
          </w:p>
        </w:tc>
        <w:tc>
          <w:tcPr>
            <w:tcW w:w="1418" w:type="dxa"/>
            <w:shd w:val="clear" w:color="auto" w:fill="auto"/>
          </w:tcPr>
          <w:p w:rsidR="00246845" w:rsidRPr="00306279" w:rsidRDefault="00246845" w:rsidP="00FC02B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Bruttó ár (Ft)</w:t>
            </w:r>
          </w:p>
        </w:tc>
      </w:tr>
      <w:tr w:rsidR="00246845" w:rsidRPr="00306279" w:rsidTr="00FC02B1">
        <w:tc>
          <w:tcPr>
            <w:tcW w:w="3369" w:type="dxa"/>
            <w:shd w:val="clear" w:color="auto" w:fill="auto"/>
          </w:tcPr>
          <w:p w:rsidR="00246845" w:rsidRPr="00306279" w:rsidRDefault="00246845" w:rsidP="00FC02B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óvodai étkeztetés</w:t>
            </w:r>
          </w:p>
        </w:tc>
        <w:tc>
          <w:tcPr>
            <w:tcW w:w="1275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351</w:t>
            </w:r>
          </w:p>
        </w:tc>
        <w:tc>
          <w:tcPr>
            <w:tcW w:w="1292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334</w:t>
            </w:r>
          </w:p>
        </w:tc>
        <w:tc>
          <w:tcPr>
            <w:tcW w:w="1417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685</w:t>
            </w:r>
          </w:p>
        </w:tc>
        <w:tc>
          <w:tcPr>
            <w:tcW w:w="992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185</w:t>
            </w:r>
          </w:p>
        </w:tc>
        <w:tc>
          <w:tcPr>
            <w:tcW w:w="1418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870</w:t>
            </w:r>
          </w:p>
        </w:tc>
      </w:tr>
      <w:tr w:rsidR="00246845" w:rsidRPr="00306279" w:rsidTr="00FC02B1">
        <w:tc>
          <w:tcPr>
            <w:tcW w:w="3369" w:type="dxa"/>
            <w:shd w:val="clear" w:color="auto" w:fill="auto"/>
          </w:tcPr>
          <w:p w:rsidR="00246845" w:rsidRPr="00306279" w:rsidRDefault="00246845" w:rsidP="00FC02B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Óvodai étkeztetés speciális táplálkozási igényű gyermek esetén</w:t>
            </w:r>
          </w:p>
        </w:tc>
        <w:tc>
          <w:tcPr>
            <w:tcW w:w="1275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387</w:t>
            </w:r>
          </w:p>
        </w:tc>
        <w:tc>
          <w:tcPr>
            <w:tcW w:w="1292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368</w:t>
            </w:r>
          </w:p>
        </w:tc>
        <w:tc>
          <w:tcPr>
            <w:tcW w:w="1417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755</w:t>
            </w:r>
          </w:p>
        </w:tc>
        <w:tc>
          <w:tcPr>
            <w:tcW w:w="992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204</w:t>
            </w:r>
          </w:p>
        </w:tc>
        <w:tc>
          <w:tcPr>
            <w:tcW w:w="1418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959</w:t>
            </w:r>
          </w:p>
        </w:tc>
      </w:tr>
      <w:tr w:rsidR="00246845" w:rsidRPr="00306279" w:rsidTr="00FC02B1">
        <w:tc>
          <w:tcPr>
            <w:tcW w:w="3369" w:type="dxa"/>
            <w:shd w:val="clear" w:color="auto" w:fill="auto"/>
          </w:tcPr>
          <w:p w:rsidR="00246845" w:rsidRPr="00306279" w:rsidRDefault="00246845" w:rsidP="00FC02B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Iskolai étkeztetés</w:t>
            </w:r>
          </w:p>
        </w:tc>
        <w:tc>
          <w:tcPr>
            <w:tcW w:w="1275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306</w:t>
            </w:r>
          </w:p>
        </w:tc>
        <w:tc>
          <w:tcPr>
            <w:tcW w:w="1292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290</w:t>
            </w:r>
          </w:p>
        </w:tc>
        <w:tc>
          <w:tcPr>
            <w:tcW w:w="1417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596</w:t>
            </w:r>
          </w:p>
        </w:tc>
        <w:tc>
          <w:tcPr>
            <w:tcW w:w="992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161</w:t>
            </w:r>
          </w:p>
        </w:tc>
        <w:tc>
          <w:tcPr>
            <w:tcW w:w="1418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757</w:t>
            </w:r>
          </w:p>
        </w:tc>
      </w:tr>
      <w:tr w:rsidR="00246845" w:rsidRPr="00306279" w:rsidTr="00FC02B1">
        <w:tc>
          <w:tcPr>
            <w:tcW w:w="3369" w:type="dxa"/>
            <w:shd w:val="clear" w:color="auto" w:fill="auto"/>
          </w:tcPr>
          <w:p w:rsidR="00246845" w:rsidRPr="00306279" w:rsidRDefault="00246845" w:rsidP="00FC02B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Iskolai étkeztetés speciális táplálkozási igényű gyermek esetén</w:t>
            </w:r>
          </w:p>
        </w:tc>
        <w:tc>
          <w:tcPr>
            <w:tcW w:w="1275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342</w:t>
            </w:r>
          </w:p>
        </w:tc>
        <w:tc>
          <w:tcPr>
            <w:tcW w:w="1292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326</w:t>
            </w:r>
          </w:p>
        </w:tc>
        <w:tc>
          <w:tcPr>
            <w:tcW w:w="1417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668</w:t>
            </w:r>
          </w:p>
        </w:tc>
        <w:tc>
          <w:tcPr>
            <w:tcW w:w="992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180</w:t>
            </w:r>
          </w:p>
        </w:tc>
        <w:tc>
          <w:tcPr>
            <w:tcW w:w="1418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848</w:t>
            </w:r>
          </w:p>
        </w:tc>
      </w:tr>
      <w:tr w:rsidR="00246845" w:rsidRPr="00306279" w:rsidTr="00FC02B1">
        <w:tc>
          <w:tcPr>
            <w:tcW w:w="3369" w:type="dxa"/>
            <w:shd w:val="clear" w:color="auto" w:fill="auto"/>
          </w:tcPr>
          <w:p w:rsidR="00246845" w:rsidRPr="00306279" w:rsidRDefault="00246845" w:rsidP="00FC02B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 xml:space="preserve">Iskolai </w:t>
            </w:r>
            <w:proofErr w:type="spellStart"/>
            <w:r w:rsidRPr="00306279">
              <w:rPr>
                <w:rFonts w:ascii="Garamond" w:hAnsi="Garamond"/>
                <w:sz w:val="22"/>
                <w:szCs w:val="22"/>
              </w:rPr>
              <w:t>étkezetés</w:t>
            </w:r>
            <w:proofErr w:type="spellEnd"/>
            <w:r w:rsidRPr="00306279">
              <w:rPr>
                <w:rFonts w:ascii="Garamond" w:hAnsi="Garamond"/>
                <w:sz w:val="22"/>
                <w:szCs w:val="22"/>
              </w:rPr>
              <w:t xml:space="preserve"> 3x</w:t>
            </w:r>
          </w:p>
        </w:tc>
        <w:tc>
          <w:tcPr>
            <w:tcW w:w="1275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457</w:t>
            </w:r>
          </w:p>
        </w:tc>
        <w:tc>
          <w:tcPr>
            <w:tcW w:w="1292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433</w:t>
            </w:r>
          </w:p>
        </w:tc>
        <w:tc>
          <w:tcPr>
            <w:tcW w:w="1417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890</w:t>
            </w:r>
          </w:p>
        </w:tc>
        <w:tc>
          <w:tcPr>
            <w:tcW w:w="992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1130</w:t>
            </w:r>
          </w:p>
        </w:tc>
      </w:tr>
      <w:tr w:rsidR="00246845" w:rsidRPr="00EC0974" w:rsidTr="00FC02B1">
        <w:trPr>
          <w:trHeight w:val="761"/>
        </w:trPr>
        <w:tc>
          <w:tcPr>
            <w:tcW w:w="3369" w:type="dxa"/>
            <w:shd w:val="clear" w:color="auto" w:fill="auto"/>
          </w:tcPr>
          <w:p w:rsidR="00246845" w:rsidRPr="00306279" w:rsidRDefault="00246845" w:rsidP="00FC02B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 xml:space="preserve">Iskolai étkeztetés 3x </w:t>
            </w:r>
          </w:p>
          <w:p w:rsidR="00246845" w:rsidRPr="00306279" w:rsidRDefault="00246845" w:rsidP="00FC02B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speciális táplálkozási igényű gyermek esetén</w:t>
            </w:r>
          </w:p>
        </w:tc>
        <w:tc>
          <w:tcPr>
            <w:tcW w:w="1275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493</w:t>
            </w:r>
          </w:p>
        </w:tc>
        <w:tc>
          <w:tcPr>
            <w:tcW w:w="1292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469</w:t>
            </w:r>
          </w:p>
        </w:tc>
        <w:tc>
          <w:tcPr>
            <w:tcW w:w="1417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962</w:t>
            </w:r>
          </w:p>
        </w:tc>
        <w:tc>
          <w:tcPr>
            <w:tcW w:w="992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260</w:t>
            </w:r>
          </w:p>
        </w:tc>
        <w:tc>
          <w:tcPr>
            <w:tcW w:w="1418" w:type="dxa"/>
            <w:shd w:val="clear" w:color="auto" w:fill="auto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1222</w:t>
            </w:r>
          </w:p>
        </w:tc>
      </w:tr>
    </w:tbl>
    <w:p w:rsidR="00246845" w:rsidRPr="00EC0974" w:rsidRDefault="00246845" w:rsidP="00246845">
      <w:pPr>
        <w:jc w:val="both"/>
        <w:rPr>
          <w:rFonts w:ascii="Garamond" w:hAnsi="Garamond"/>
          <w:sz w:val="22"/>
          <w:szCs w:val="22"/>
        </w:rPr>
      </w:pPr>
    </w:p>
    <w:p w:rsidR="00246845" w:rsidRPr="00EC0974" w:rsidRDefault="00246845" w:rsidP="00246845">
      <w:pPr>
        <w:jc w:val="both"/>
        <w:rPr>
          <w:rFonts w:ascii="Garamond" w:hAnsi="Garamond" w:cs="Arial"/>
          <w:sz w:val="22"/>
          <w:szCs w:val="22"/>
        </w:rPr>
      </w:pPr>
      <w:r w:rsidRPr="00EC0974">
        <w:rPr>
          <w:rFonts w:ascii="Garamond" w:hAnsi="Garamond" w:cs="Arial"/>
          <w:sz w:val="22"/>
          <w:szCs w:val="22"/>
        </w:rPr>
        <w:t xml:space="preserve">A jogalkotásról szóló 2010. évi CXXX. törvény 17.§-a értelmében, a jogszabály előkészítője előzetes hatásvizsgálat elvégzése során felméri a szabályozás várható következményeit. Az előzetes hatásvizsgálat eredményéről önkormányzati rendelet esetén a képviselő-testületet tájékoztatni kell. A hatásvizsgálat az előterjesztés mellékleteként csatolásra került. </w:t>
      </w:r>
    </w:p>
    <w:p w:rsidR="00246845" w:rsidRPr="00EC0974" w:rsidRDefault="00246845" w:rsidP="00246845">
      <w:pPr>
        <w:jc w:val="both"/>
        <w:rPr>
          <w:rFonts w:ascii="Garamond" w:hAnsi="Garamond" w:cs="Arial"/>
          <w:sz w:val="22"/>
          <w:szCs w:val="22"/>
        </w:rPr>
      </w:pPr>
      <w:r w:rsidRPr="00EC0974">
        <w:rPr>
          <w:rFonts w:ascii="Garamond" w:hAnsi="Garamond" w:cs="Arial"/>
          <w:sz w:val="22"/>
          <w:szCs w:val="22"/>
        </w:rPr>
        <w:t xml:space="preserve">Az előterjesztés tartalmazza a jogalkotásról szóló 2010. évi CXXX. törvény 18.§-ban foglaltak szerint a rendelettervezet indokolását. </w:t>
      </w:r>
    </w:p>
    <w:p w:rsidR="00246845" w:rsidRPr="00EC0974" w:rsidRDefault="00246845" w:rsidP="00246845">
      <w:pPr>
        <w:jc w:val="both"/>
        <w:rPr>
          <w:rFonts w:ascii="Garamond" w:hAnsi="Garamond"/>
          <w:b/>
          <w:sz w:val="22"/>
          <w:szCs w:val="22"/>
        </w:rPr>
      </w:pPr>
      <w:r w:rsidRPr="00EC0974">
        <w:rPr>
          <w:rFonts w:ascii="Garamond" w:hAnsi="Garamond"/>
          <w:sz w:val="22"/>
          <w:szCs w:val="22"/>
        </w:rPr>
        <w:t>A rendelet</w:t>
      </w:r>
      <w:r w:rsidRPr="00EC0974">
        <w:rPr>
          <w:rFonts w:ascii="Garamond" w:hAnsi="Garamond"/>
          <w:b/>
          <w:sz w:val="22"/>
          <w:szCs w:val="22"/>
        </w:rPr>
        <w:t xml:space="preserve"> </w:t>
      </w:r>
      <w:r w:rsidRPr="00EC0974">
        <w:rPr>
          <w:rFonts w:ascii="Garamond" w:hAnsi="Garamond"/>
          <w:sz w:val="22"/>
          <w:szCs w:val="22"/>
        </w:rPr>
        <w:t xml:space="preserve">elfogadásához a </w:t>
      </w:r>
      <w:proofErr w:type="spellStart"/>
      <w:r w:rsidRPr="00EC0974">
        <w:rPr>
          <w:rFonts w:ascii="Garamond" w:hAnsi="Garamond"/>
          <w:sz w:val="22"/>
          <w:szCs w:val="22"/>
        </w:rPr>
        <w:t>Möt</w:t>
      </w:r>
      <w:proofErr w:type="spellEnd"/>
      <w:r w:rsidRPr="00EC0974">
        <w:rPr>
          <w:rFonts w:ascii="Garamond" w:hAnsi="Garamond"/>
          <w:sz w:val="22"/>
          <w:szCs w:val="22"/>
        </w:rPr>
        <w:t xml:space="preserve">. 50.§ értelmében </w:t>
      </w:r>
      <w:r w:rsidRPr="00EC0974">
        <w:rPr>
          <w:rFonts w:ascii="Garamond" w:hAnsi="Garamond"/>
          <w:b/>
          <w:sz w:val="22"/>
          <w:szCs w:val="22"/>
        </w:rPr>
        <w:t>minősített többség</w:t>
      </w:r>
      <w:r w:rsidRPr="00EC0974">
        <w:rPr>
          <w:rFonts w:ascii="Garamond" w:hAnsi="Garamond"/>
          <w:sz w:val="22"/>
          <w:szCs w:val="22"/>
        </w:rPr>
        <w:t xml:space="preserve"> szükséges.</w:t>
      </w:r>
    </w:p>
    <w:p w:rsidR="00246845" w:rsidRPr="00EC0974" w:rsidRDefault="00246845" w:rsidP="00246845">
      <w:pPr>
        <w:jc w:val="both"/>
        <w:rPr>
          <w:rFonts w:ascii="Garamond" w:hAnsi="Garamond"/>
          <w:sz w:val="22"/>
          <w:szCs w:val="22"/>
        </w:rPr>
      </w:pPr>
    </w:p>
    <w:p w:rsidR="00246845" w:rsidRPr="00EC0974" w:rsidRDefault="00246845" w:rsidP="00246845">
      <w:pPr>
        <w:jc w:val="both"/>
        <w:rPr>
          <w:rFonts w:ascii="Garamond" w:hAnsi="Garamond"/>
          <w:sz w:val="22"/>
          <w:szCs w:val="22"/>
        </w:rPr>
      </w:pPr>
      <w:bookmarkStart w:id="1" w:name="pr2"/>
      <w:bookmarkEnd w:id="1"/>
      <w:r w:rsidRPr="00EC0974">
        <w:rPr>
          <w:rFonts w:ascii="Garamond" w:hAnsi="Garamond"/>
          <w:sz w:val="22"/>
          <w:szCs w:val="22"/>
        </w:rPr>
        <w:t xml:space="preserve">Kérem a Tisztelt Képviselő-testületet, hogy az előterjesztést megvitatni, és </w:t>
      </w:r>
      <w:r>
        <w:rPr>
          <w:rFonts w:ascii="Garamond" w:hAnsi="Garamond"/>
          <w:sz w:val="22"/>
          <w:szCs w:val="22"/>
        </w:rPr>
        <w:t xml:space="preserve">a határozati javaslatot, mint a Társulásban érintett önkormányzat elfogadni </w:t>
      </w:r>
      <w:r w:rsidRPr="00EC0974">
        <w:rPr>
          <w:rFonts w:ascii="Garamond" w:hAnsi="Garamond"/>
          <w:sz w:val="22"/>
          <w:szCs w:val="22"/>
        </w:rPr>
        <w:t>szíveskedjen.</w:t>
      </w:r>
    </w:p>
    <w:p w:rsidR="00246845" w:rsidRPr="00EC0974" w:rsidRDefault="00246845" w:rsidP="00246845">
      <w:pPr>
        <w:jc w:val="both"/>
        <w:rPr>
          <w:rFonts w:ascii="Garamond" w:hAnsi="Garamond"/>
          <w:sz w:val="22"/>
          <w:szCs w:val="22"/>
        </w:rPr>
      </w:pPr>
    </w:p>
    <w:p w:rsidR="00246845" w:rsidRDefault="00246845" w:rsidP="00246845">
      <w:pPr>
        <w:pStyle w:val="Lista"/>
        <w:jc w:val="center"/>
        <w:rPr>
          <w:rFonts w:ascii="Garamond" w:hAnsi="Garamond"/>
          <w:b/>
          <w:sz w:val="22"/>
          <w:szCs w:val="22"/>
        </w:rPr>
      </w:pPr>
    </w:p>
    <w:p w:rsidR="00DA6931" w:rsidRPr="00EC0974" w:rsidRDefault="00DA6931" w:rsidP="00246845">
      <w:pPr>
        <w:pStyle w:val="Lista"/>
        <w:jc w:val="center"/>
        <w:rPr>
          <w:rFonts w:ascii="Garamond" w:hAnsi="Garamond"/>
          <w:b/>
          <w:sz w:val="22"/>
          <w:szCs w:val="22"/>
        </w:rPr>
      </w:pPr>
      <w:bookmarkStart w:id="2" w:name="_GoBack"/>
      <w:bookmarkEnd w:id="2"/>
    </w:p>
    <w:p w:rsidR="00246845" w:rsidRDefault="00246845" w:rsidP="00246845">
      <w:pPr>
        <w:pStyle w:val="Lista"/>
        <w:jc w:val="center"/>
        <w:rPr>
          <w:rFonts w:ascii="Garamond" w:hAnsi="Garamond"/>
          <w:b/>
          <w:sz w:val="22"/>
          <w:szCs w:val="22"/>
        </w:rPr>
      </w:pPr>
    </w:p>
    <w:p w:rsidR="00246845" w:rsidRPr="00EC0974" w:rsidRDefault="00246845" w:rsidP="00246845">
      <w:pPr>
        <w:pStyle w:val="Lista"/>
        <w:jc w:val="center"/>
        <w:rPr>
          <w:rFonts w:ascii="Garamond" w:hAnsi="Garamond"/>
          <w:b/>
          <w:sz w:val="22"/>
          <w:szCs w:val="22"/>
        </w:rPr>
      </w:pPr>
      <w:r w:rsidRPr="00EC0974">
        <w:rPr>
          <w:rFonts w:ascii="Garamond" w:hAnsi="Garamond"/>
          <w:b/>
          <w:sz w:val="22"/>
          <w:szCs w:val="22"/>
        </w:rPr>
        <w:t>HATÁROZATI JAVASLAT</w:t>
      </w:r>
    </w:p>
    <w:p w:rsidR="00246845" w:rsidRPr="00EC0974" w:rsidRDefault="00246845" w:rsidP="00246845">
      <w:pPr>
        <w:pStyle w:val="Lista"/>
        <w:jc w:val="center"/>
        <w:rPr>
          <w:rFonts w:ascii="Garamond" w:hAnsi="Garamond"/>
          <w:b/>
          <w:sz w:val="22"/>
          <w:szCs w:val="22"/>
        </w:rPr>
      </w:pPr>
      <w:r w:rsidRPr="00EC0974">
        <w:rPr>
          <w:rFonts w:ascii="Garamond" w:hAnsi="Garamond"/>
          <w:b/>
          <w:sz w:val="22"/>
          <w:szCs w:val="22"/>
        </w:rPr>
        <w:t>…/201</w:t>
      </w:r>
      <w:r>
        <w:rPr>
          <w:rFonts w:ascii="Garamond" w:hAnsi="Garamond"/>
          <w:b/>
          <w:sz w:val="22"/>
          <w:szCs w:val="22"/>
        </w:rPr>
        <w:t>8</w:t>
      </w:r>
      <w:r w:rsidRPr="00EC0974">
        <w:rPr>
          <w:rFonts w:ascii="Garamond" w:hAnsi="Garamond"/>
          <w:b/>
          <w:sz w:val="22"/>
          <w:szCs w:val="22"/>
        </w:rPr>
        <w:t>.(II</w:t>
      </w:r>
      <w:r>
        <w:rPr>
          <w:rFonts w:ascii="Garamond" w:hAnsi="Garamond"/>
          <w:b/>
          <w:sz w:val="22"/>
          <w:szCs w:val="22"/>
        </w:rPr>
        <w:t>.19</w:t>
      </w:r>
      <w:r w:rsidRPr="00EC0974">
        <w:rPr>
          <w:rFonts w:ascii="Garamond" w:hAnsi="Garamond"/>
          <w:b/>
          <w:sz w:val="22"/>
          <w:szCs w:val="22"/>
        </w:rPr>
        <w:t xml:space="preserve">.) </w:t>
      </w:r>
      <w:r>
        <w:rPr>
          <w:rFonts w:ascii="Garamond" w:hAnsi="Garamond"/>
          <w:b/>
          <w:sz w:val="22"/>
          <w:szCs w:val="22"/>
        </w:rPr>
        <w:t>k</w:t>
      </w:r>
      <w:r w:rsidRPr="00EC0974">
        <w:rPr>
          <w:rFonts w:ascii="Garamond" w:hAnsi="Garamond"/>
          <w:b/>
          <w:sz w:val="22"/>
          <w:szCs w:val="22"/>
        </w:rPr>
        <w:t>épviselő-testületi határozat</w:t>
      </w:r>
    </w:p>
    <w:p w:rsidR="00246845" w:rsidRPr="00EC0974" w:rsidRDefault="00246845" w:rsidP="00246845">
      <w:pPr>
        <w:pStyle w:val="Lista"/>
        <w:jc w:val="center"/>
        <w:rPr>
          <w:rFonts w:ascii="Garamond" w:hAnsi="Garamond"/>
          <w:b/>
          <w:sz w:val="22"/>
          <w:szCs w:val="22"/>
        </w:rPr>
      </w:pPr>
    </w:p>
    <w:p w:rsidR="00246845" w:rsidRPr="00EC0974" w:rsidRDefault="00246845" w:rsidP="00246845">
      <w:pPr>
        <w:pStyle w:val="Lista"/>
        <w:ind w:left="0" w:firstLine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Salföld</w:t>
      </w:r>
      <w:r w:rsidRPr="00EC0974">
        <w:rPr>
          <w:rFonts w:ascii="Garamond" w:hAnsi="Garamond"/>
          <w:b/>
          <w:sz w:val="22"/>
          <w:szCs w:val="22"/>
        </w:rPr>
        <w:t xml:space="preserve"> Község Önkormányzatának Képviselő-testülete a jogalkotásról szóló 2010. évi CXXX. törvény 5.§ (1a) bekezdésében biztosított jogkörében eljárva Badacsonytomaj Város Önkormányzata Képviselő-testületének a gyermekvédelmi ellátásokról szóló önkormányzati rendelet megalkotásához hozzájárul.</w:t>
      </w:r>
    </w:p>
    <w:p w:rsidR="00246845" w:rsidRPr="00EC0974" w:rsidRDefault="00246845" w:rsidP="00246845">
      <w:pPr>
        <w:pStyle w:val="Lista"/>
        <w:ind w:left="0" w:firstLine="0"/>
        <w:jc w:val="both"/>
        <w:rPr>
          <w:rFonts w:ascii="Garamond" w:hAnsi="Garamond"/>
          <w:b/>
          <w:sz w:val="22"/>
          <w:szCs w:val="22"/>
        </w:rPr>
      </w:pPr>
    </w:p>
    <w:p w:rsidR="00246845" w:rsidRPr="00EC0974" w:rsidRDefault="00246845" w:rsidP="00246845">
      <w:pPr>
        <w:pStyle w:val="Lista"/>
        <w:rPr>
          <w:rFonts w:ascii="Garamond" w:hAnsi="Garamond"/>
          <w:b/>
          <w:sz w:val="22"/>
          <w:szCs w:val="22"/>
        </w:rPr>
      </w:pPr>
      <w:r w:rsidRPr="00EC0974">
        <w:rPr>
          <w:rFonts w:ascii="Garamond" w:hAnsi="Garamond"/>
          <w:b/>
          <w:sz w:val="22"/>
          <w:szCs w:val="22"/>
        </w:rPr>
        <w:t xml:space="preserve">Felelős: </w:t>
      </w:r>
      <w:r w:rsidRPr="00EC0974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>Fábián Gusztáv</w:t>
      </w:r>
      <w:r w:rsidRPr="00EC0974">
        <w:rPr>
          <w:rFonts w:ascii="Garamond" w:hAnsi="Garamond"/>
          <w:b/>
          <w:sz w:val="22"/>
          <w:szCs w:val="22"/>
        </w:rPr>
        <w:t xml:space="preserve"> polgármester</w:t>
      </w:r>
    </w:p>
    <w:p w:rsidR="00246845" w:rsidRPr="00EC0974" w:rsidRDefault="00246845" w:rsidP="00246845">
      <w:pPr>
        <w:pStyle w:val="Lista"/>
        <w:rPr>
          <w:rFonts w:ascii="Garamond" w:hAnsi="Garamond"/>
          <w:b/>
          <w:sz w:val="22"/>
          <w:szCs w:val="22"/>
        </w:rPr>
      </w:pPr>
      <w:r w:rsidRPr="00EC0974">
        <w:rPr>
          <w:rFonts w:ascii="Garamond" w:hAnsi="Garamond"/>
          <w:b/>
          <w:sz w:val="22"/>
          <w:szCs w:val="22"/>
        </w:rPr>
        <w:t xml:space="preserve">Határidő: </w:t>
      </w:r>
      <w:r w:rsidRPr="00EC0974">
        <w:rPr>
          <w:rFonts w:ascii="Garamond" w:hAnsi="Garamond"/>
          <w:b/>
          <w:sz w:val="22"/>
          <w:szCs w:val="22"/>
        </w:rPr>
        <w:tab/>
        <w:t>azonnal</w:t>
      </w:r>
    </w:p>
    <w:p w:rsidR="00246845" w:rsidRPr="00EC0974" w:rsidRDefault="00246845" w:rsidP="00246845">
      <w:pPr>
        <w:pStyle w:val="Lista"/>
        <w:jc w:val="center"/>
        <w:rPr>
          <w:rFonts w:ascii="Garamond" w:hAnsi="Garamond"/>
          <w:b/>
          <w:sz w:val="22"/>
          <w:szCs w:val="22"/>
        </w:rPr>
      </w:pPr>
    </w:p>
    <w:p w:rsidR="00246845" w:rsidRPr="00EC0974" w:rsidRDefault="00246845" w:rsidP="00246845">
      <w:pPr>
        <w:pStyle w:val="Lista"/>
        <w:jc w:val="center"/>
        <w:rPr>
          <w:rFonts w:ascii="Garamond" w:hAnsi="Garamond"/>
          <w:b/>
          <w:sz w:val="22"/>
          <w:szCs w:val="22"/>
        </w:rPr>
      </w:pPr>
    </w:p>
    <w:p w:rsidR="00246845" w:rsidRPr="00EC0974" w:rsidRDefault="00246845" w:rsidP="00246845">
      <w:pPr>
        <w:ind w:firstLine="240"/>
        <w:jc w:val="center"/>
        <w:rPr>
          <w:rFonts w:ascii="Garamond" w:hAnsi="Garamond"/>
          <w:b/>
          <w:bCs/>
          <w:sz w:val="22"/>
          <w:szCs w:val="22"/>
          <w:bdr w:val="none" w:sz="0" w:space="0" w:color="auto" w:frame="1"/>
        </w:rPr>
      </w:pPr>
      <w:r>
        <w:rPr>
          <w:rFonts w:ascii="Garamond" w:hAnsi="Garamond"/>
          <w:b/>
          <w:bCs/>
          <w:sz w:val="22"/>
          <w:szCs w:val="22"/>
          <w:bdr w:val="none" w:sz="0" w:space="0" w:color="auto" w:frame="1"/>
        </w:rPr>
        <w:br w:type="page"/>
      </w:r>
      <w:r w:rsidRPr="00EC0974">
        <w:rPr>
          <w:rFonts w:ascii="Garamond" w:hAnsi="Garamond"/>
          <w:b/>
          <w:bCs/>
          <w:sz w:val="22"/>
          <w:szCs w:val="22"/>
          <w:bdr w:val="none" w:sz="0" w:space="0" w:color="auto" w:frame="1"/>
        </w:rPr>
        <w:lastRenderedPageBreak/>
        <w:t>ELŐZETES HAT</w:t>
      </w:r>
      <w:r w:rsidRPr="00EC0974">
        <w:rPr>
          <w:rFonts w:ascii="Garamond" w:hAnsi="Garamond" w:cs="Baskerville Old Face"/>
          <w:b/>
          <w:bCs/>
          <w:sz w:val="22"/>
          <w:szCs w:val="22"/>
          <w:bdr w:val="none" w:sz="0" w:space="0" w:color="auto" w:frame="1"/>
        </w:rPr>
        <w:t>Á</w:t>
      </w:r>
      <w:r w:rsidRPr="00EC0974">
        <w:rPr>
          <w:rFonts w:ascii="Garamond" w:hAnsi="Garamond"/>
          <w:b/>
          <w:bCs/>
          <w:sz w:val="22"/>
          <w:szCs w:val="22"/>
          <w:bdr w:val="none" w:sz="0" w:space="0" w:color="auto" w:frame="1"/>
        </w:rPr>
        <w:t>SVIZSG</w:t>
      </w:r>
      <w:r w:rsidRPr="00EC0974">
        <w:rPr>
          <w:rFonts w:ascii="Garamond" w:hAnsi="Garamond" w:cs="Baskerville Old Face"/>
          <w:b/>
          <w:bCs/>
          <w:sz w:val="22"/>
          <w:szCs w:val="22"/>
          <w:bdr w:val="none" w:sz="0" w:space="0" w:color="auto" w:frame="1"/>
        </w:rPr>
        <w:t>Á</w:t>
      </w:r>
      <w:r w:rsidRPr="00EC0974">
        <w:rPr>
          <w:rFonts w:ascii="Garamond" w:hAnsi="Garamond"/>
          <w:b/>
          <w:bCs/>
          <w:sz w:val="22"/>
          <w:szCs w:val="22"/>
          <w:bdr w:val="none" w:sz="0" w:space="0" w:color="auto" w:frame="1"/>
        </w:rPr>
        <w:t>LAT</w:t>
      </w:r>
    </w:p>
    <w:p w:rsidR="00246845" w:rsidRPr="00EC0974" w:rsidRDefault="00246845" w:rsidP="00246845">
      <w:pPr>
        <w:jc w:val="center"/>
        <w:rPr>
          <w:rFonts w:ascii="Garamond" w:hAnsi="Garamond"/>
          <w:bCs/>
          <w:sz w:val="22"/>
          <w:szCs w:val="22"/>
          <w:bdr w:val="none" w:sz="0" w:space="0" w:color="auto" w:frame="1"/>
        </w:rPr>
      </w:pPr>
      <w:r w:rsidRPr="00EC0974">
        <w:rPr>
          <w:rFonts w:ascii="Garamond" w:hAnsi="Garamond"/>
          <w:bCs/>
          <w:sz w:val="22"/>
          <w:szCs w:val="22"/>
          <w:bdr w:val="none" w:sz="0" w:space="0" w:color="auto" w:frame="1"/>
        </w:rPr>
        <w:t xml:space="preserve">Badacsonytomaj Város Önkormányzata Képviselő-testületének </w:t>
      </w:r>
    </w:p>
    <w:p w:rsidR="00246845" w:rsidRPr="00EC0974" w:rsidRDefault="00246845" w:rsidP="00246845">
      <w:pPr>
        <w:jc w:val="center"/>
        <w:rPr>
          <w:rFonts w:ascii="Garamond" w:hAnsi="Garamond"/>
          <w:bCs/>
          <w:sz w:val="22"/>
          <w:szCs w:val="22"/>
          <w:bdr w:val="none" w:sz="0" w:space="0" w:color="auto" w:frame="1"/>
        </w:rPr>
      </w:pPr>
      <w:r w:rsidRPr="00EC0974">
        <w:rPr>
          <w:rFonts w:ascii="Garamond" w:hAnsi="Garamond"/>
          <w:bCs/>
          <w:sz w:val="22"/>
          <w:szCs w:val="22"/>
          <w:bdr w:val="none" w:sz="0" w:space="0" w:color="auto" w:frame="1"/>
        </w:rPr>
        <w:t>…/201</w:t>
      </w:r>
      <w:r>
        <w:rPr>
          <w:rFonts w:ascii="Garamond" w:hAnsi="Garamond"/>
          <w:bCs/>
          <w:sz w:val="22"/>
          <w:szCs w:val="22"/>
          <w:bdr w:val="none" w:sz="0" w:space="0" w:color="auto" w:frame="1"/>
        </w:rPr>
        <w:t>8</w:t>
      </w:r>
      <w:r w:rsidRPr="00EC0974">
        <w:rPr>
          <w:rFonts w:ascii="Garamond" w:hAnsi="Garamond"/>
          <w:bCs/>
          <w:sz w:val="22"/>
          <w:szCs w:val="22"/>
          <w:bdr w:val="none" w:sz="0" w:space="0" w:color="auto" w:frame="1"/>
        </w:rPr>
        <w:t xml:space="preserve">. </w:t>
      </w:r>
      <w:proofErr w:type="gramStart"/>
      <w:r w:rsidRPr="00EC0974">
        <w:rPr>
          <w:rFonts w:ascii="Garamond" w:hAnsi="Garamond"/>
          <w:bCs/>
          <w:sz w:val="22"/>
          <w:szCs w:val="22"/>
          <w:bdr w:val="none" w:sz="0" w:space="0" w:color="auto" w:frame="1"/>
        </w:rPr>
        <w:t>(.…</w:t>
      </w:r>
      <w:proofErr w:type="gramEnd"/>
      <w:r w:rsidRPr="00EC0974">
        <w:rPr>
          <w:rFonts w:ascii="Garamond" w:hAnsi="Garamond"/>
          <w:bCs/>
          <w:sz w:val="22"/>
          <w:szCs w:val="22"/>
          <w:bdr w:val="none" w:sz="0" w:space="0" w:color="auto" w:frame="1"/>
        </w:rPr>
        <w:t xml:space="preserve">.) önkormányzati rendelete </w:t>
      </w:r>
    </w:p>
    <w:p w:rsidR="00246845" w:rsidRPr="00EC0974" w:rsidRDefault="00246845" w:rsidP="00246845">
      <w:pPr>
        <w:jc w:val="center"/>
        <w:rPr>
          <w:rFonts w:ascii="Garamond" w:hAnsi="Garamond"/>
          <w:sz w:val="22"/>
          <w:szCs w:val="22"/>
        </w:rPr>
      </w:pPr>
      <w:r w:rsidRPr="00EC0974">
        <w:rPr>
          <w:rFonts w:ascii="Garamond" w:hAnsi="Garamond"/>
          <w:sz w:val="22"/>
          <w:szCs w:val="22"/>
        </w:rPr>
        <w:t>a gyermekvédelmi ellátásokról szóló</w:t>
      </w:r>
    </w:p>
    <w:p w:rsidR="00246845" w:rsidRPr="00EC0974" w:rsidRDefault="00246845" w:rsidP="00246845">
      <w:pPr>
        <w:ind w:firstLine="240"/>
        <w:jc w:val="center"/>
        <w:rPr>
          <w:rFonts w:ascii="Garamond" w:hAnsi="Garamond"/>
          <w:b/>
          <w:bCs/>
          <w:sz w:val="22"/>
          <w:szCs w:val="22"/>
          <w:bdr w:val="none" w:sz="0" w:space="0" w:color="auto" w:frame="1"/>
        </w:rPr>
      </w:pPr>
    </w:p>
    <w:p w:rsidR="00246845" w:rsidRPr="00EC0974" w:rsidRDefault="00246845" w:rsidP="00246845">
      <w:pPr>
        <w:jc w:val="both"/>
        <w:rPr>
          <w:rFonts w:ascii="Garamond" w:hAnsi="Garamond" w:cs="Garamond"/>
          <w:sz w:val="22"/>
          <w:szCs w:val="22"/>
        </w:rPr>
      </w:pPr>
      <w:r w:rsidRPr="00EC0974">
        <w:rPr>
          <w:rFonts w:ascii="Garamond" w:hAnsi="Garamond" w:cs="Garamond"/>
          <w:sz w:val="22"/>
          <w:szCs w:val="22"/>
        </w:rPr>
        <w:t xml:space="preserve">A jogalkotásról szóló 2010. évi CXXX. törvény – a továbbiakban: </w:t>
      </w:r>
      <w:proofErr w:type="spellStart"/>
      <w:r w:rsidRPr="00EC0974">
        <w:rPr>
          <w:rFonts w:ascii="Garamond" w:hAnsi="Garamond" w:cs="Garamond"/>
          <w:sz w:val="22"/>
          <w:szCs w:val="22"/>
        </w:rPr>
        <w:t>Jat</w:t>
      </w:r>
      <w:proofErr w:type="spellEnd"/>
      <w:r w:rsidRPr="00EC0974">
        <w:rPr>
          <w:rFonts w:ascii="Garamond" w:hAnsi="Garamond" w:cs="Garamond"/>
          <w:sz w:val="22"/>
          <w:szCs w:val="22"/>
        </w:rPr>
        <w:t>. – 17. § (</w:t>
      </w:r>
      <w:proofErr w:type="gramStart"/>
      <w:r w:rsidRPr="00EC0974">
        <w:rPr>
          <w:rFonts w:ascii="Garamond" w:hAnsi="Garamond" w:cs="Garamond"/>
          <w:sz w:val="22"/>
          <w:szCs w:val="22"/>
        </w:rPr>
        <w:t>1)-(</w:t>
      </w:r>
      <w:proofErr w:type="gramEnd"/>
      <w:r w:rsidRPr="00EC0974">
        <w:rPr>
          <w:rFonts w:ascii="Garamond" w:hAnsi="Garamond" w:cs="Garamond"/>
          <w:sz w:val="22"/>
          <w:szCs w:val="22"/>
        </w:rPr>
        <w:t xml:space="preserve">2) bekezdése értelmében </w:t>
      </w:r>
    </w:p>
    <w:p w:rsidR="00246845" w:rsidRPr="00EC0974" w:rsidRDefault="00246845" w:rsidP="00246845">
      <w:pPr>
        <w:jc w:val="both"/>
        <w:rPr>
          <w:rFonts w:ascii="Garamond" w:hAnsi="Garamond" w:cs="Garamond"/>
          <w:i/>
          <w:iCs/>
          <w:sz w:val="22"/>
          <w:szCs w:val="22"/>
        </w:rPr>
      </w:pPr>
      <w:r w:rsidRPr="00EC0974">
        <w:rPr>
          <w:rFonts w:ascii="Garamond" w:hAnsi="Garamond" w:cs="Garamond"/>
          <w:bCs/>
          <w:i/>
          <w:iCs/>
          <w:sz w:val="22"/>
          <w:szCs w:val="22"/>
        </w:rPr>
        <w:t>„</w:t>
      </w:r>
      <w:r w:rsidRPr="00EC0974">
        <w:rPr>
          <w:rFonts w:ascii="Garamond" w:hAnsi="Garamond" w:cs="Garamond"/>
          <w:i/>
          <w:iCs/>
          <w:sz w:val="22"/>
          <w:szCs w:val="22"/>
        </w:rPr>
        <w:t>A jogszabály előkészítője – a jogszabály feltételezett hatásaihoz igazodó részletességű – előzetes hatásvizsgálat elvégzésével felméri a szabályozás várható következményeit. Az előzetes hatásvizsgálat eredményéről a Kormány által előterjesztendő törvényjavaslat, illetve kormányrendelet esetén a Kormányt, önkormányzati rendelet esetén a helyi önkormányzat képviselő-testületét tájékoztatni kell. Miniszteri rendelet rendelkezhet úgy, hogy az általa meghatározott esetben a közjogi szervezetszabályozó eszköz előkészítője előzetes hatásvizsgálatot végez.</w:t>
      </w:r>
    </w:p>
    <w:p w:rsidR="00246845" w:rsidRPr="00EC0974" w:rsidRDefault="00246845" w:rsidP="00246845">
      <w:pPr>
        <w:jc w:val="both"/>
        <w:rPr>
          <w:rFonts w:ascii="Garamond" w:hAnsi="Garamond" w:cs="Garamond"/>
          <w:i/>
          <w:iCs/>
          <w:sz w:val="22"/>
          <w:szCs w:val="22"/>
        </w:rPr>
      </w:pPr>
      <w:r w:rsidRPr="00EC0974">
        <w:rPr>
          <w:rFonts w:ascii="Garamond" w:hAnsi="Garamond" w:cs="Garamond"/>
          <w:i/>
          <w:iCs/>
          <w:sz w:val="22"/>
          <w:szCs w:val="22"/>
        </w:rPr>
        <w:t>(2) A hatásvizsgálat során vizsgálni kell</w:t>
      </w:r>
    </w:p>
    <w:p w:rsidR="00246845" w:rsidRPr="00EC0974" w:rsidRDefault="00246845" w:rsidP="00246845">
      <w:pPr>
        <w:ind w:firstLine="284"/>
        <w:jc w:val="both"/>
        <w:rPr>
          <w:rFonts w:ascii="Garamond" w:hAnsi="Garamond" w:cs="Garamond"/>
          <w:i/>
          <w:iCs/>
          <w:sz w:val="22"/>
          <w:szCs w:val="22"/>
        </w:rPr>
      </w:pPr>
      <w:r w:rsidRPr="00EC0974">
        <w:rPr>
          <w:rFonts w:ascii="Garamond" w:hAnsi="Garamond" w:cs="Garamond"/>
          <w:i/>
          <w:iCs/>
          <w:sz w:val="22"/>
          <w:szCs w:val="22"/>
        </w:rPr>
        <w:t>a) </w:t>
      </w:r>
      <w:r w:rsidRPr="00EC0974">
        <w:rPr>
          <w:rFonts w:ascii="Garamond" w:hAnsi="Garamond" w:cs="Garamond"/>
          <w:i/>
          <w:iCs/>
          <w:sz w:val="22"/>
          <w:szCs w:val="22"/>
        </w:rPr>
        <w:tab/>
        <w:t>a tervezett jogszabály valamennyi jelentősnek ítélt hatását, különösen</w:t>
      </w:r>
    </w:p>
    <w:p w:rsidR="00246845" w:rsidRPr="00EC0974" w:rsidRDefault="00246845" w:rsidP="00246845">
      <w:pPr>
        <w:ind w:left="709" w:hanging="1"/>
        <w:jc w:val="both"/>
        <w:rPr>
          <w:rFonts w:ascii="Garamond" w:hAnsi="Garamond" w:cs="Garamond"/>
          <w:i/>
          <w:iCs/>
          <w:sz w:val="22"/>
          <w:szCs w:val="22"/>
        </w:rPr>
      </w:pPr>
      <w:proofErr w:type="spellStart"/>
      <w:r w:rsidRPr="00EC0974">
        <w:rPr>
          <w:rFonts w:ascii="Garamond" w:hAnsi="Garamond" w:cs="Garamond"/>
          <w:i/>
          <w:iCs/>
          <w:sz w:val="22"/>
          <w:szCs w:val="22"/>
        </w:rPr>
        <w:t>aa</w:t>
      </w:r>
      <w:proofErr w:type="spellEnd"/>
      <w:r w:rsidRPr="00EC0974">
        <w:rPr>
          <w:rFonts w:ascii="Garamond" w:hAnsi="Garamond" w:cs="Garamond"/>
          <w:i/>
          <w:iCs/>
          <w:sz w:val="22"/>
          <w:szCs w:val="22"/>
        </w:rPr>
        <w:t>) társadalmi, gazdasági, költségvetési hatásait,</w:t>
      </w:r>
    </w:p>
    <w:p w:rsidR="00246845" w:rsidRPr="00EC0974" w:rsidRDefault="00246845" w:rsidP="00246845">
      <w:pPr>
        <w:ind w:left="567" w:firstLine="141"/>
        <w:jc w:val="both"/>
        <w:rPr>
          <w:rFonts w:ascii="Garamond" w:hAnsi="Garamond" w:cs="Garamond"/>
          <w:i/>
          <w:iCs/>
          <w:sz w:val="22"/>
          <w:szCs w:val="22"/>
        </w:rPr>
      </w:pPr>
      <w:r w:rsidRPr="00EC0974">
        <w:rPr>
          <w:rFonts w:ascii="Garamond" w:hAnsi="Garamond" w:cs="Garamond"/>
          <w:i/>
          <w:iCs/>
          <w:sz w:val="22"/>
          <w:szCs w:val="22"/>
        </w:rPr>
        <w:t>ab) környezeti és egészségi következményeit,</w:t>
      </w:r>
    </w:p>
    <w:p w:rsidR="00246845" w:rsidRPr="00EC0974" w:rsidRDefault="00246845" w:rsidP="00246845">
      <w:pPr>
        <w:ind w:left="567" w:firstLine="141"/>
        <w:jc w:val="both"/>
        <w:rPr>
          <w:rFonts w:ascii="Garamond" w:hAnsi="Garamond" w:cs="Garamond"/>
          <w:i/>
          <w:iCs/>
          <w:sz w:val="22"/>
          <w:szCs w:val="22"/>
        </w:rPr>
      </w:pPr>
      <w:proofErr w:type="spellStart"/>
      <w:r w:rsidRPr="00EC0974">
        <w:rPr>
          <w:rFonts w:ascii="Garamond" w:hAnsi="Garamond" w:cs="Garamond"/>
          <w:i/>
          <w:iCs/>
          <w:sz w:val="22"/>
          <w:szCs w:val="22"/>
        </w:rPr>
        <w:t>ac</w:t>
      </w:r>
      <w:proofErr w:type="spellEnd"/>
      <w:r w:rsidRPr="00EC0974">
        <w:rPr>
          <w:rFonts w:ascii="Garamond" w:hAnsi="Garamond" w:cs="Garamond"/>
          <w:i/>
          <w:iCs/>
          <w:sz w:val="22"/>
          <w:szCs w:val="22"/>
        </w:rPr>
        <w:t xml:space="preserve">) adminisztratív </w:t>
      </w:r>
      <w:proofErr w:type="spellStart"/>
      <w:r w:rsidRPr="00EC0974">
        <w:rPr>
          <w:rFonts w:ascii="Garamond" w:hAnsi="Garamond" w:cs="Garamond"/>
          <w:i/>
          <w:iCs/>
          <w:sz w:val="22"/>
          <w:szCs w:val="22"/>
        </w:rPr>
        <w:t>terheket</w:t>
      </w:r>
      <w:proofErr w:type="spellEnd"/>
      <w:r w:rsidRPr="00EC0974">
        <w:rPr>
          <w:rFonts w:ascii="Garamond" w:hAnsi="Garamond" w:cs="Garamond"/>
          <w:i/>
          <w:iCs/>
          <w:sz w:val="22"/>
          <w:szCs w:val="22"/>
        </w:rPr>
        <w:t xml:space="preserve"> befolyásoló hatásait, valamint</w:t>
      </w:r>
    </w:p>
    <w:p w:rsidR="00246845" w:rsidRPr="00EC0974" w:rsidRDefault="00246845" w:rsidP="00246845">
      <w:pPr>
        <w:ind w:left="709" w:hanging="425"/>
        <w:jc w:val="both"/>
        <w:rPr>
          <w:rFonts w:ascii="Garamond" w:hAnsi="Garamond" w:cs="Garamond"/>
          <w:i/>
          <w:iCs/>
          <w:sz w:val="22"/>
          <w:szCs w:val="22"/>
        </w:rPr>
      </w:pPr>
      <w:r w:rsidRPr="00EC0974">
        <w:rPr>
          <w:rFonts w:ascii="Garamond" w:hAnsi="Garamond" w:cs="Garamond"/>
          <w:i/>
          <w:iCs/>
          <w:sz w:val="22"/>
          <w:szCs w:val="22"/>
        </w:rPr>
        <w:t>b) </w:t>
      </w:r>
      <w:r w:rsidRPr="00EC0974">
        <w:rPr>
          <w:rFonts w:ascii="Garamond" w:hAnsi="Garamond" w:cs="Garamond"/>
          <w:i/>
          <w:iCs/>
          <w:sz w:val="22"/>
          <w:szCs w:val="22"/>
        </w:rPr>
        <w:tab/>
        <w:t>a jogszabály megalkotásának szükségességét, a jogalkotás elmaradásának várható következményeit, és</w:t>
      </w:r>
    </w:p>
    <w:p w:rsidR="00246845" w:rsidRPr="00EC0974" w:rsidRDefault="00246845" w:rsidP="00246845">
      <w:pPr>
        <w:ind w:left="709" w:hanging="425"/>
        <w:jc w:val="both"/>
        <w:rPr>
          <w:rFonts w:ascii="Garamond" w:hAnsi="Garamond" w:cs="Garamond"/>
          <w:i/>
          <w:iCs/>
          <w:sz w:val="22"/>
          <w:szCs w:val="22"/>
        </w:rPr>
      </w:pPr>
      <w:r w:rsidRPr="00EC0974">
        <w:rPr>
          <w:rFonts w:ascii="Garamond" w:hAnsi="Garamond" w:cs="Garamond"/>
          <w:i/>
          <w:iCs/>
          <w:sz w:val="22"/>
          <w:szCs w:val="22"/>
        </w:rPr>
        <w:t>c) </w:t>
      </w:r>
      <w:r w:rsidRPr="00EC0974">
        <w:rPr>
          <w:rFonts w:ascii="Garamond" w:hAnsi="Garamond" w:cs="Garamond"/>
          <w:i/>
          <w:iCs/>
          <w:sz w:val="22"/>
          <w:szCs w:val="22"/>
        </w:rPr>
        <w:tab/>
        <w:t>a jogszabály alkalmazásához szükséges személyi, szervezeti, tárgyi és pénzügyi feltételeket.”</w:t>
      </w:r>
    </w:p>
    <w:p w:rsidR="00246845" w:rsidRPr="00EC0974" w:rsidRDefault="00246845" w:rsidP="00246845">
      <w:pPr>
        <w:ind w:firstLine="180"/>
        <w:jc w:val="both"/>
        <w:rPr>
          <w:rFonts w:ascii="Garamond" w:hAnsi="Garamond" w:cs="Garamond"/>
          <w:i/>
          <w:iCs/>
          <w:sz w:val="22"/>
          <w:szCs w:val="22"/>
        </w:rPr>
      </w:pPr>
    </w:p>
    <w:p w:rsidR="00246845" w:rsidRPr="00EC0974" w:rsidRDefault="00246845" w:rsidP="00246845">
      <w:pPr>
        <w:jc w:val="both"/>
        <w:rPr>
          <w:rFonts w:ascii="Garamond" w:hAnsi="Garamond"/>
          <w:bCs/>
          <w:sz w:val="22"/>
          <w:szCs w:val="22"/>
          <w:bdr w:val="none" w:sz="0" w:space="0" w:color="auto" w:frame="1"/>
        </w:rPr>
      </w:pPr>
      <w:r w:rsidRPr="00EC0974">
        <w:rPr>
          <w:rFonts w:ascii="Garamond" w:hAnsi="Garamond" w:cs="Garamond"/>
          <w:sz w:val="22"/>
          <w:szCs w:val="22"/>
        </w:rPr>
        <w:t xml:space="preserve">A rendelet-tervezet </w:t>
      </w:r>
      <w:r w:rsidRPr="00EC0974">
        <w:rPr>
          <w:rFonts w:ascii="Garamond" w:hAnsi="Garamond" w:cs="Garamond"/>
          <w:b/>
          <w:bCs/>
          <w:sz w:val="22"/>
          <w:szCs w:val="22"/>
        </w:rPr>
        <w:t>társadalmi, gazdasági és költségvetési hatásai</w:t>
      </w:r>
      <w:r w:rsidRPr="00EC0974">
        <w:rPr>
          <w:rFonts w:ascii="Garamond" w:hAnsi="Garamond" w:cs="Garamond"/>
          <w:sz w:val="22"/>
          <w:szCs w:val="22"/>
        </w:rPr>
        <w:t xml:space="preserve">: </w:t>
      </w:r>
      <w:r w:rsidRPr="00EC0974">
        <w:rPr>
          <w:rFonts w:ascii="Garamond" w:hAnsi="Garamond"/>
          <w:bCs/>
          <w:sz w:val="22"/>
          <w:szCs w:val="22"/>
          <w:bdr w:val="none" w:sz="0" w:space="0" w:color="auto" w:frame="1"/>
        </w:rPr>
        <w:t>a MENÜ Kft. által jelzett költséghatások és bevétel növekedés.</w:t>
      </w:r>
    </w:p>
    <w:p w:rsidR="00246845" w:rsidRPr="00EC0974" w:rsidRDefault="00246845" w:rsidP="00246845">
      <w:pPr>
        <w:jc w:val="both"/>
        <w:rPr>
          <w:rFonts w:ascii="Garamond" w:hAnsi="Garamond" w:cs="Garamond"/>
          <w:sz w:val="22"/>
          <w:szCs w:val="22"/>
        </w:rPr>
      </w:pPr>
      <w:r w:rsidRPr="00EC0974">
        <w:rPr>
          <w:rFonts w:ascii="Garamond" w:hAnsi="Garamond" w:cs="Garamond"/>
          <w:sz w:val="22"/>
          <w:szCs w:val="22"/>
        </w:rPr>
        <w:t xml:space="preserve">A rendeletben foglaltak végrehajtásának </w:t>
      </w:r>
      <w:r w:rsidRPr="00EC0974">
        <w:rPr>
          <w:rFonts w:ascii="Garamond" w:hAnsi="Garamond" w:cs="Garamond"/>
          <w:b/>
          <w:bCs/>
          <w:sz w:val="22"/>
          <w:szCs w:val="22"/>
        </w:rPr>
        <w:t>környezetre gyakorolt hatása</w:t>
      </w:r>
      <w:r w:rsidRPr="00EC0974">
        <w:rPr>
          <w:rFonts w:ascii="Garamond" w:hAnsi="Garamond" w:cs="Garamond"/>
          <w:sz w:val="22"/>
          <w:szCs w:val="22"/>
        </w:rPr>
        <w:t xml:space="preserve">, </w:t>
      </w:r>
      <w:r w:rsidRPr="00EC0974">
        <w:rPr>
          <w:rFonts w:ascii="Garamond" w:hAnsi="Garamond" w:cs="Garamond"/>
          <w:b/>
          <w:bCs/>
          <w:sz w:val="22"/>
          <w:szCs w:val="22"/>
        </w:rPr>
        <w:t>egészségi következménye</w:t>
      </w:r>
      <w:r w:rsidRPr="00EC0974">
        <w:rPr>
          <w:rFonts w:ascii="Garamond" w:hAnsi="Garamond" w:cs="Garamond"/>
          <w:sz w:val="22"/>
          <w:szCs w:val="22"/>
        </w:rPr>
        <w:t xml:space="preserve"> környezetre gyakorolt hatása nincs, egészségi következménye, hogy a speciális étkeztetésben részesülő gyermekek glutén és laktózmentes táplálkozása is biztosított.</w:t>
      </w:r>
    </w:p>
    <w:p w:rsidR="00246845" w:rsidRPr="00EC0974" w:rsidRDefault="00246845" w:rsidP="00246845">
      <w:pPr>
        <w:jc w:val="both"/>
        <w:rPr>
          <w:rFonts w:ascii="Garamond" w:hAnsi="Garamond" w:cs="Garamond"/>
          <w:sz w:val="22"/>
          <w:szCs w:val="22"/>
        </w:rPr>
      </w:pPr>
      <w:r w:rsidRPr="00EC0974">
        <w:rPr>
          <w:rFonts w:ascii="Garamond" w:hAnsi="Garamond" w:cs="Garamond"/>
          <w:sz w:val="22"/>
          <w:szCs w:val="22"/>
        </w:rPr>
        <w:t xml:space="preserve">A rendelet-tervezet </w:t>
      </w:r>
      <w:r w:rsidRPr="00EC0974">
        <w:rPr>
          <w:rFonts w:ascii="Garamond" w:hAnsi="Garamond" w:cs="Garamond"/>
          <w:b/>
          <w:bCs/>
          <w:sz w:val="22"/>
          <w:szCs w:val="22"/>
        </w:rPr>
        <w:t xml:space="preserve">adminisztratív </w:t>
      </w:r>
      <w:proofErr w:type="spellStart"/>
      <w:r w:rsidRPr="00EC0974">
        <w:rPr>
          <w:rFonts w:ascii="Garamond" w:hAnsi="Garamond" w:cs="Garamond"/>
          <w:b/>
          <w:bCs/>
          <w:sz w:val="22"/>
          <w:szCs w:val="22"/>
        </w:rPr>
        <w:t>terheket</w:t>
      </w:r>
      <w:proofErr w:type="spellEnd"/>
      <w:r w:rsidRPr="00EC0974">
        <w:rPr>
          <w:rFonts w:ascii="Garamond" w:hAnsi="Garamond" w:cs="Garamond"/>
          <w:sz w:val="22"/>
          <w:szCs w:val="22"/>
        </w:rPr>
        <w:t xml:space="preserve"> </w:t>
      </w:r>
      <w:r w:rsidRPr="00EC0974">
        <w:rPr>
          <w:rFonts w:ascii="Garamond" w:hAnsi="Garamond" w:cs="Garamond"/>
          <w:b/>
          <w:bCs/>
          <w:sz w:val="22"/>
          <w:szCs w:val="22"/>
        </w:rPr>
        <w:t>befolyásoló hatása</w:t>
      </w:r>
      <w:r w:rsidRPr="00EC0974">
        <w:rPr>
          <w:rFonts w:ascii="Garamond" w:hAnsi="Garamond" w:cs="Garamond"/>
          <w:sz w:val="22"/>
          <w:szCs w:val="22"/>
        </w:rPr>
        <w:t xml:space="preserve">: az adminisztratív </w:t>
      </w:r>
      <w:proofErr w:type="spellStart"/>
      <w:r w:rsidRPr="00EC0974">
        <w:rPr>
          <w:rFonts w:ascii="Garamond" w:hAnsi="Garamond" w:cs="Garamond"/>
          <w:sz w:val="22"/>
          <w:szCs w:val="22"/>
        </w:rPr>
        <w:t>terhek</w:t>
      </w:r>
      <w:proofErr w:type="spellEnd"/>
      <w:r w:rsidRPr="00EC0974">
        <w:rPr>
          <w:rFonts w:ascii="Garamond" w:hAnsi="Garamond" w:cs="Garamond"/>
          <w:sz w:val="22"/>
          <w:szCs w:val="22"/>
        </w:rPr>
        <w:t xml:space="preserve"> nem növekednek.</w:t>
      </w:r>
    </w:p>
    <w:p w:rsidR="00246845" w:rsidRPr="00EC0974" w:rsidRDefault="00246845" w:rsidP="00246845">
      <w:pPr>
        <w:jc w:val="both"/>
        <w:rPr>
          <w:rFonts w:ascii="Garamond" w:hAnsi="Garamond" w:cs="Garamond"/>
          <w:sz w:val="22"/>
          <w:szCs w:val="22"/>
        </w:rPr>
      </w:pPr>
      <w:r w:rsidRPr="00EC0974">
        <w:rPr>
          <w:rFonts w:ascii="Garamond" w:hAnsi="Garamond" w:cs="Garamond"/>
          <w:b/>
          <w:bCs/>
          <w:sz w:val="22"/>
          <w:szCs w:val="22"/>
        </w:rPr>
        <w:t>A jogszabály megalkotásának szükségessége, a jogalkotás elmaradásának várható következményei</w:t>
      </w:r>
      <w:r w:rsidRPr="00EC0974">
        <w:rPr>
          <w:rFonts w:ascii="Garamond" w:hAnsi="Garamond" w:cs="Garamond"/>
          <w:sz w:val="22"/>
          <w:szCs w:val="22"/>
        </w:rPr>
        <w:t>: kötelező felülvizsgálat április 1-jéig.</w:t>
      </w:r>
    </w:p>
    <w:p w:rsidR="00246845" w:rsidRPr="00EC0974" w:rsidRDefault="00246845" w:rsidP="00246845">
      <w:pPr>
        <w:jc w:val="both"/>
        <w:rPr>
          <w:rFonts w:ascii="Garamond" w:hAnsi="Garamond" w:cs="Garamond"/>
          <w:b/>
          <w:bCs/>
          <w:sz w:val="22"/>
          <w:szCs w:val="22"/>
        </w:rPr>
      </w:pPr>
      <w:r w:rsidRPr="00EC0974">
        <w:rPr>
          <w:rFonts w:ascii="Garamond" w:hAnsi="Garamond" w:cs="Garamond"/>
          <w:b/>
          <w:bCs/>
          <w:sz w:val="22"/>
          <w:szCs w:val="22"/>
        </w:rPr>
        <w:t>A jogszabály alkalmazásához szükséges személyi, szervezeti, tárgyi és pénzügyi feltételek</w:t>
      </w:r>
      <w:r w:rsidRPr="00EC0974">
        <w:rPr>
          <w:rFonts w:ascii="Garamond" w:hAnsi="Garamond" w:cs="Garamond"/>
          <w:sz w:val="22"/>
          <w:szCs w:val="22"/>
        </w:rPr>
        <w:t>:</w:t>
      </w:r>
    </w:p>
    <w:p w:rsidR="00246845" w:rsidRPr="00EC0974" w:rsidRDefault="00246845" w:rsidP="00246845">
      <w:pPr>
        <w:jc w:val="both"/>
        <w:rPr>
          <w:rFonts w:ascii="Garamond" w:hAnsi="Garamond" w:cs="Garamond"/>
          <w:sz w:val="22"/>
          <w:szCs w:val="22"/>
          <w:u w:val="single"/>
        </w:rPr>
      </w:pPr>
      <w:r w:rsidRPr="00EC0974">
        <w:rPr>
          <w:rFonts w:ascii="Garamond" w:hAnsi="Garamond" w:cs="Garamond"/>
          <w:sz w:val="22"/>
          <w:szCs w:val="22"/>
        </w:rPr>
        <w:t>A jogszabály alkalmazásához szükséges személyi, tárgyi, szervezeti, pénzügyi feltételek rendelkezésre állnak</w:t>
      </w:r>
    </w:p>
    <w:p w:rsidR="00246845" w:rsidRPr="00EC0974" w:rsidRDefault="00246845" w:rsidP="00246845">
      <w:pPr>
        <w:ind w:firstLine="240"/>
        <w:jc w:val="both"/>
        <w:rPr>
          <w:rFonts w:ascii="Garamond" w:hAnsi="Garamond"/>
          <w:bCs/>
          <w:sz w:val="22"/>
          <w:szCs w:val="22"/>
          <w:bdr w:val="none" w:sz="0" w:space="0" w:color="auto" w:frame="1"/>
        </w:rPr>
      </w:pPr>
    </w:p>
    <w:p w:rsidR="00246845" w:rsidRDefault="00246845" w:rsidP="00246845">
      <w:pPr>
        <w:jc w:val="center"/>
        <w:rPr>
          <w:rFonts w:ascii="Garamond" w:hAnsi="Garamond" w:cs="Garamond"/>
          <w:b/>
          <w:bCs/>
          <w:caps/>
          <w:sz w:val="22"/>
          <w:szCs w:val="22"/>
        </w:rPr>
      </w:pPr>
    </w:p>
    <w:p w:rsidR="00246845" w:rsidRDefault="00246845" w:rsidP="00246845">
      <w:pPr>
        <w:jc w:val="center"/>
        <w:rPr>
          <w:rFonts w:ascii="Garamond" w:hAnsi="Garamond" w:cs="Garamond"/>
          <w:b/>
          <w:bCs/>
          <w:caps/>
          <w:sz w:val="22"/>
          <w:szCs w:val="22"/>
        </w:rPr>
      </w:pPr>
    </w:p>
    <w:p w:rsidR="00246845" w:rsidRPr="00EC0974" w:rsidRDefault="00246845" w:rsidP="00246845">
      <w:pPr>
        <w:jc w:val="center"/>
        <w:rPr>
          <w:rFonts w:ascii="Garamond" w:hAnsi="Garamond" w:cs="Garamond"/>
          <w:b/>
          <w:bCs/>
          <w:sz w:val="22"/>
          <w:szCs w:val="22"/>
        </w:rPr>
      </w:pPr>
      <w:r w:rsidRPr="00EC0974">
        <w:rPr>
          <w:rFonts w:ascii="Garamond" w:hAnsi="Garamond" w:cs="Garamond"/>
          <w:b/>
          <w:bCs/>
          <w:caps/>
          <w:sz w:val="22"/>
          <w:szCs w:val="22"/>
        </w:rPr>
        <w:t>Indokolás</w:t>
      </w:r>
      <w:r w:rsidRPr="00EC0974">
        <w:rPr>
          <w:rFonts w:ascii="Garamond" w:hAnsi="Garamond" w:cs="Garamond"/>
          <w:b/>
          <w:bCs/>
          <w:sz w:val="22"/>
          <w:szCs w:val="22"/>
        </w:rPr>
        <w:t xml:space="preserve">  </w:t>
      </w:r>
    </w:p>
    <w:p w:rsidR="00246845" w:rsidRPr="00EC0974" w:rsidRDefault="00246845" w:rsidP="00246845">
      <w:pPr>
        <w:jc w:val="center"/>
        <w:rPr>
          <w:rFonts w:ascii="Garamond" w:hAnsi="Garamond" w:cs="Garamond"/>
          <w:bCs/>
          <w:sz w:val="22"/>
          <w:szCs w:val="22"/>
        </w:rPr>
      </w:pPr>
      <w:r w:rsidRPr="00EC0974">
        <w:rPr>
          <w:rFonts w:ascii="Garamond" w:hAnsi="Garamond" w:cs="Garamond"/>
          <w:bCs/>
          <w:sz w:val="22"/>
          <w:szCs w:val="22"/>
        </w:rPr>
        <w:t>Badacsonytomaj Város Önkormányzata Képviselő-testületének</w:t>
      </w:r>
    </w:p>
    <w:p w:rsidR="00246845" w:rsidRPr="00EC0974" w:rsidRDefault="00246845" w:rsidP="00246845">
      <w:pPr>
        <w:jc w:val="center"/>
        <w:rPr>
          <w:rFonts w:ascii="Garamond" w:hAnsi="Garamond"/>
          <w:bCs/>
          <w:sz w:val="22"/>
          <w:szCs w:val="22"/>
          <w:bdr w:val="none" w:sz="0" w:space="0" w:color="auto" w:frame="1"/>
        </w:rPr>
      </w:pPr>
      <w:r w:rsidRPr="00EC0974">
        <w:rPr>
          <w:rFonts w:ascii="Garamond" w:hAnsi="Garamond"/>
          <w:bCs/>
          <w:sz w:val="22"/>
          <w:szCs w:val="22"/>
          <w:bdr w:val="none" w:sz="0" w:space="0" w:color="auto" w:frame="1"/>
        </w:rPr>
        <w:t>…/201</w:t>
      </w:r>
      <w:r>
        <w:rPr>
          <w:rFonts w:ascii="Garamond" w:hAnsi="Garamond"/>
          <w:bCs/>
          <w:sz w:val="22"/>
          <w:szCs w:val="22"/>
          <w:bdr w:val="none" w:sz="0" w:space="0" w:color="auto" w:frame="1"/>
        </w:rPr>
        <w:t>8</w:t>
      </w:r>
      <w:r w:rsidRPr="00EC0974">
        <w:rPr>
          <w:rFonts w:ascii="Garamond" w:hAnsi="Garamond"/>
          <w:bCs/>
          <w:sz w:val="22"/>
          <w:szCs w:val="22"/>
          <w:bdr w:val="none" w:sz="0" w:space="0" w:color="auto" w:frame="1"/>
        </w:rPr>
        <w:t xml:space="preserve">. </w:t>
      </w:r>
      <w:proofErr w:type="gramStart"/>
      <w:r w:rsidRPr="00EC0974">
        <w:rPr>
          <w:rFonts w:ascii="Garamond" w:hAnsi="Garamond"/>
          <w:bCs/>
          <w:sz w:val="22"/>
          <w:szCs w:val="22"/>
          <w:bdr w:val="none" w:sz="0" w:space="0" w:color="auto" w:frame="1"/>
        </w:rPr>
        <w:t>(.…</w:t>
      </w:r>
      <w:proofErr w:type="gramEnd"/>
      <w:r w:rsidRPr="00EC0974">
        <w:rPr>
          <w:rFonts w:ascii="Garamond" w:hAnsi="Garamond"/>
          <w:bCs/>
          <w:sz w:val="22"/>
          <w:szCs w:val="22"/>
          <w:bdr w:val="none" w:sz="0" w:space="0" w:color="auto" w:frame="1"/>
        </w:rPr>
        <w:t xml:space="preserve">.) önkormányzati rendelete </w:t>
      </w:r>
    </w:p>
    <w:p w:rsidR="00246845" w:rsidRPr="00EC0974" w:rsidRDefault="00246845" w:rsidP="00246845">
      <w:pPr>
        <w:jc w:val="center"/>
        <w:rPr>
          <w:rFonts w:ascii="Garamond" w:hAnsi="Garamond"/>
          <w:sz w:val="22"/>
          <w:szCs w:val="22"/>
        </w:rPr>
      </w:pPr>
      <w:r w:rsidRPr="00EC0974">
        <w:rPr>
          <w:rFonts w:ascii="Garamond" w:hAnsi="Garamond"/>
          <w:sz w:val="22"/>
          <w:szCs w:val="22"/>
        </w:rPr>
        <w:t>a gyermekvédelmi ellátásokról szóló</w:t>
      </w:r>
    </w:p>
    <w:p w:rsidR="00246845" w:rsidRPr="00EC0974" w:rsidRDefault="00246845" w:rsidP="00246845">
      <w:pPr>
        <w:jc w:val="both"/>
        <w:rPr>
          <w:rFonts w:ascii="Garamond" w:hAnsi="Garamond" w:cs="Garamond"/>
          <w:sz w:val="22"/>
          <w:szCs w:val="22"/>
        </w:rPr>
      </w:pPr>
    </w:p>
    <w:p w:rsidR="00246845" w:rsidRPr="00EC0974" w:rsidRDefault="00246845" w:rsidP="00246845">
      <w:pPr>
        <w:jc w:val="both"/>
        <w:rPr>
          <w:rFonts w:ascii="Garamond" w:hAnsi="Garamond"/>
          <w:i/>
          <w:sz w:val="22"/>
          <w:szCs w:val="22"/>
        </w:rPr>
      </w:pPr>
      <w:r w:rsidRPr="00EC0974">
        <w:rPr>
          <w:rFonts w:ascii="Garamond" w:hAnsi="Garamond"/>
          <w:sz w:val="22"/>
          <w:szCs w:val="22"/>
        </w:rPr>
        <w:t xml:space="preserve">A </w:t>
      </w:r>
      <w:proofErr w:type="spellStart"/>
      <w:r w:rsidRPr="00EC0974">
        <w:rPr>
          <w:rFonts w:ascii="Garamond" w:hAnsi="Garamond"/>
          <w:sz w:val="22"/>
          <w:szCs w:val="22"/>
        </w:rPr>
        <w:t>Jat</w:t>
      </w:r>
      <w:proofErr w:type="spellEnd"/>
      <w:r w:rsidRPr="00EC0974">
        <w:rPr>
          <w:rFonts w:ascii="Garamond" w:hAnsi="Garamond"/>
          <w:sz w:val="22"/>
          <w:szCs w:val="22"/>
        </w:rPr>
        <w:t>. 18.§ (</w:t>
      </w:r>
      <w:proofErr w:type="gramStart"/>
      <w:r w:rsidRPr="00EC0974">
        <w:rPr>
          <w:rFonts w:ascii="Garamond" w:hAnsi="Garamond"/>
          <w:sz w:val="22"/>
          <w:szCs w:val="22"/>
        </w:rPr>
        <w:t>1)-(</w:t>
      </w:r>
      <w:proofErr w:type="gramEnd"/>
      <w:r w:rsidRPr="00EC0974">
        <w:rPr>
          <w:rFonts w:ascii="Garamond" w:hAnsi="Garamond"/>
          <w:sz w:val="22"/>
          <w:szCs w:val="22"/>
        </w:rPr>
        <w:t>2) bekezdése rögzíti, hogy „</w:t>
      </w:r>
      <w:r w:rsidRPr="00EC0974">
        <w:rPr>
          <w:rFonts w:ascii="Garamond" w:hAnsi="Garamond"/>
          <w:i/>
          <w:sz w:val="22"/>
          <w:szCs w:val="22"/>
        </w:rPr>
        <w:t>A jogszabály tervezetéhez a jogszabály előkészítője indokolást csatol, amelyben bemutatja azokat a társadalmi, gazdasági, szakmai okokat és célokat, amelyek a javasolt szabályozást szükségessé teszik, továbbá ismerteti a jogi szabályozás várható hatásait.</w:t>
      </w:r>
    </w:p>
    <w:p w:rsidR="00246845" w:rsidRPr="00EC0974" w:rsidRDefault="00246845" w:rsidP="00246845">
      <w:pPr>
        <w:jc w:val="both"/>
        <w:rPr>
          <w:rFonts w:ascii="Garamond" w:hAnsi="Garamond"/>
          <w:i/>
          <w:sz w:val="22"/>
          <w:szCs w:val="22"/>
        </w:rPr>
      </w:pPr>
      <w:r w:rsidRPr="00EC0974">
        <w:rPr>
          <w:rFonts w:ascii="Garamond" w:hAnsi="Garamond"/>
          <w:i/>
          <w:sz w:val="22"/>
          <w:szCs w:val="22"/>
        </w:rPr>
        <w:t>(2) A jogszabály tervezetének indokolásában tájékoztatást kell adni a javasolt szabályozás és az európai uniós jogból eredő kötelezettségek összhangjáról, valamint a </w:t>
      </w:r>
      <w:hyperlink r:id="rId37" w:anchor="sid54272" w:history="1">
        <w:r w:rsidRPr="00EC0974">
          <w:rPr>
            <w:rStyle w:val="Hiperhivatkozs"/>
            <w:rFonts w:ascii="Garamond" w:hAnsi="Garamond"/>
            <w:i/>
            <w:sz w:val="22"/>
            <w:szCs w:val="22"/>
          </w:rPr>
          <w:t>20.§</w:t>
        </w:r>
      </w:hyperlink>
      <w:r w:rsidRPr="00EC0974">
        <w:rPr>
          <w:rFonts w:ascii="Garamond" w:hAnsi="Garamond"/>
          <w:i/>
          <w:sz w:val="22"/>
          <w:szCs w:val="22"/>
        </w:rPr>
        <w:t> szerinti egyeztetési kötelezettségről.”</w:t>
      </w:r>
    </w:p>
    <w:p w:rsidR="00246845" w:rsidRPr="00EC0974" w:rsidRDefault="00246845" w:rsidP="00246845">
      <w:pPr>
        <w:jc w:val="both"/>
        <w:rPr>
          <w:rFonts w:ascii="Garamond" w:hAnsi="Garamond"/>
          <w:sz w:val="22"/>
          <w:szCs w:val="22"/>
        </w:rPr>
      </w:pPr>
    </w:p>
    <w:p w:rsidR="00246845" w:rsidRPr="00EC0974" w:rsidRDefault="00246845" w:rsidP="00246845">
      <w:pPr>
        <w:jc w:val="both"/>
        <w:rPr>
          <w:rFonts w:ascii="Garamond" w:hAnsi="Garamond" w:cs="Garamond"/>
          <w:sz w:val="22"/>
          <w:szCs w:val="22"/>
        </w:rPr>
      </w:pPr>
      <w:r w:rsidRPr="00EC0974">
        <w:rPr>
          <w:rFonts w:ascii="Garamond" w:hAnsi="Garamond" w:cs="Garamond"/>
          <w:sz w:val="22"/>
          <w:szCs w:val="22"/>
        </w:rPr>
        <w:t xml:space="preserve">Az előterjesztésben részletezett jogszabályi háttér és a MENÜ Kft., mint szolgáltató megkeresése alapján indokolt a rendelet megalkotása és a korábban hatályban lévő rendelet felülvizsgálata. A térítési díjak meghatározása önkormányzati feladat, a nyersanyag- és rezsi költségek meghatározása a szolgáltató feladata. </w:t>
      </w:r>
    </w:p>
    <w:p w:rsidR="00246845" w:rsidRDefault="00246845" w:rsidP="00246845">
      <w:pPr>
        <w:pStyle w:val="Lista"/>
        <w:jc w:val="center"/>
        <w:rPr>
          <w:rFonts w:ascii="Garamond" w:hAnsi="Garamond"/>
          <w:b/>
          <w:sz w:val="22"/>
          <w:szCs w:val="22"/>
        </w:rPr>
      </w:pPr>
    </w:p>
    <w:p w:rsidR="00246845" w:rsidRPr="00EC0974" w:rsidRDefault="00246845" w:rsidP="00246845">
      <w:pPr>
        <w:pStyle w:val="Lista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  <w:r w:rsidRPr="00EC0974">
        <w:rPr>
          <w:rFonts w:ascii="Garamond" w:hAnsi="Garamond"/>
          <w:b/>
          <w:sz w:val="22"/>
          <w:szCs w:val="22"/>
        </w:rPr>
        <w:lastRenderedPageBreak/>
        <w:t>Badacsonytomaj Város Önkormányzata Képviselő-testületének</w:t>
      </w:r>
    </w:p>
    <w:p w:rsidR="00246845" w:rsidRPr="00EC0974" w:rsidRDefault="00246845" w:rsidP="00246845">
      <w:pPr>
        <w:pStyle w:val="Lista"/>
        <w:ind w:left="0" w:firstLine="0"/>
        <w:jc w:val="center"/>
        <w:rPr>
          <w:rFonts w:ascii="Garamond" w:hAnsi="Garamond"/>
          <w:b/>
          <w:sz w:val="22"/>
          <w:szCs w:val="22"/>
        </w:rPr>
      </w:pPr>
      <w:r w:rsidRPr="00EC0974">
        <w:rPr>
          <w:rFonts w:ascii="Garamond" w:hAnsi="Garamond"/>
          <w:b/>
          <w:sz w:val="22"/>
          <w:szCs w:val="22"/>
        </w:rPr>
        <w:t>…/201</w:t>
      </w:r>
      <w:r>
        <w:rPr>
          <w:rFonts w:ascii="Garamond" w:hAnsi="Garamond"/>
          <w:b/>
          <w:sz w:val="22"/>
          <w:szCs w:val="22"/>
        </w:rPr>
        <w:t>8</w:t>
      </w:r>
      <w:r w:rsidRPr="00EC0974">
        <w:rPr>
          <w:rFonts w:ascii="Garamond" w:hAnsi="Garamond"/>
          <w:b/>
          <w:sz w:val="22"/>
          <w:szCs w:val="22"/>
        </w:rPr>
        <w:t>. (</w:t>
      </w:r>
      <w:proofErr w:type="gramStart"/>
      <w:r w:rsidRPr="00EC0974">
        <w:rPr>
          <w:rFonts w:ascii="Garamond" w:hAnsi="Garamond"/>
          <w:b/>
          <w:sz w:val="22"/>
          <w:szCs w:val="22"/>
        </w:rPr>
        <w:t>II.…</w:t>
      </w:r>
      <w:proofErr w:type="gramEnd"/>
      <w:r w:rsidRPr="00EC0974">
        <w:rPr>
          <w:rFonts w:ascii="Garamond" w:hAnsi="Garamond"/>
          <w:b/>
          <w:sz w:val="22"/>
          <w:szCs w:val="22"/>
        </w:rPr>
        <w:t xml:space="preserve">..) önkormányzati rendelete </w:t>
      </w:r>
    </w:p>
    <w:p w:rsidR="00246845" w:rsidRPr="00EC0974" w:rsidRDefault="00246845" w:rsidP="00246845">
      <w:pPr>
        <w:jc w:val="center"/>
        <w:rPr>
          <w:rFonts w:ascii="Garamond" w:hAnsi="Garamond"/>
          <w:b/>
          <w:sz w:val="22"/>
          <w:szCs w:val="22"/>
        </w:rPr>
      </w:pPr>
      <w:r w:rsidRPr="00EC0974">
        <w:rPr>
          <w:rFonts w:ascii="Garamond" w:hAnsi="Garamond"/>
          <w:b/>
          <w:sz w:val="22"/>
          <w:szCs w:val="22"/>
        </w:rPr>
        <w:t>a gyermekvédelmi ellátásokról</w:t>
      </w:r>
    </w:p>
    <w:p w:rsidR="00246845" w:rsidRPr="00EC0974" w:rsidRDefault="00246845" w:rsidP="00246845">
      <w:pPr>
        <w:pStyle w:val="Szvegtrzs"/>
        <w:spacing w:after="0"/>
        <w:jc w:val="center"/>
        <w:rPr>
          <w:rFonts w:ascii="Garamond" w:hAnsi="Garamond"/>
          <w:b/>
          <w:sz w:val="22"/>
          <w:szCs w:val="22"/>
        </w:rPr>
      </w:pPr>
    </w:p>
    <w:p w:rsidR="00246845" w:rsidRPr="00EC0974" w:rsidRDefault="00246845" w:rsidP="00246845">
      <w:pPr>
        <w:jc w:val="center"/>
        <w:rPr>
          <w:rFonts w:ascii="Garamond" w:hAnsi="Garamond"/>
          <w:sz w:val="22"/>
          <w:szCs w:val="22"/>
        </w:rPr>
      </w:pPr>
      <w:r w:rsidRPr="00EC0974">
        <w:rPr>
          <w:rFonts w:ascii="Garamond" w:hAnsi="Garamond"/>
          <w:sz w:val="22"/>
          <w:szCs w:val="22"/>
        </w:rPr>
        <w:t>Badacsonytomaj Város Önkormányzatának Képviselő-testülete a gyermekek védelméről és a gyámügyi igazgatásról szóló 1997. évi XXXI. törvény 29.§ (</w:t>
      </w:r>
      <w:proofErr w:type="gramStart"/>
      <w:r w:rsidRPr="00EC0974">
        <w:rPr>
          <w:rFonts w:ascii="Garamond" w:hAnsi="Garamond"/>
          <w:sz w:val="22"/>
          <w:szCs w:val="22"/>
        </w:rPr>
        <w:t>1)-(</w:t>
      </w:r>
      <w:proofErr w:type="gramEnd"/>
      <w:r w:rsidRPr="00EC0974">
        <w:rPr>
          <w:rFonts w:ascii="Garamond" w:hAnsi="Garamond"/>
          <w:sz w:val="22"/>
          <w:szCs w:val="22"/>
        </w:rPr>
        <w:t>2) bekezdésében kapott felhatalmazás alapján,</w:t>
      </w:r>
    </w:p>
    <w:p w:rsidR="00246845" w:rsidRPr="00EC0974" w:rsidRDefault="00246845" w:rsidP="00246845">
      <w:pPr>
        <w:jc w:val="center"/>
        <w:rPr>
          <w:rFonts w:ascii="Garamond" w:hAnsi="Garamond"/>
          <w:sz w:val="22"/>
          <w:szCs w:val="22"/>
        </w:rPr>
      </w:pPr>
      <w:r w:rsidRPr="00EC0974">
        <w:rPr>
          <w:rFonts w:ascii="Garamond" w:hAnsi="Garamond"/>
          <w:sz w:val="22"/>
          <w:szCs w:val="22"/>
        </w:rPr>
        <w:t>az Alaptörvény 32. cikk (1) bekezdés a) pontjában és a Magyarország helyi önkormányzatairól szóló 2011. évi CLXXXIX. törvény 13. § (1) bekezdés 8. pontjában meghatározott feladatkörében eljárva</w:t>
      </w:r>
    </w:p>
    <w:p w:rsidR="00246845" w:rsidRPr="00EC0974" w:rsidRDefault="00246845" w:rsidP="00246845">
      <w:pPr>
        <w:jc w:val="center"/>
        <w:rPr>
          <w:rFonts w:ascii="Garamond" w:hAnsi="Garamond"/>
          <w:sz w:val="22"/>
          <w:szCs w:val="22"/>
        </w:rPr>
      </w:pPr>
      <w:r w:rsidRPr="00EC0974">
        <w:rPr>
          <w:rFonts w:ascii="Garamond" w:hAnsi="Garamond"/>
          <w:sz w:val="22"/>
          <w:szCs w:val="22"/>
        </w:rPr>
        <w:t>Ábrahámhegy Község Önkormányzata Képviselő-testületének és Salföld Község Önkormányzata Képviselő-testületének hozzájárulásával a következőket rendeli el:</w:t>
      </w:r>
    </w:p>
    <w:p w:rsidR="00246845" w:rsidRPr="00EC0974" w:rsidRDefault="00246845" w:rsidP="00246845">
      <w:pPr>
        <w:jc w:val="center"/>
        <w:rPr>
          <w:rFonts w:ascii="Garamond" w:hAnsi="Garamond"/>
          <w:b/>
          <w:sz w:val="22"/>
          <w:szCs w:val="22"/>
        </w:rPr>
      </w:pPr>
    </w:p>
    <w:p w:rsidR="00246845" w:rsidRPr="00EC0974" w:rsidRDefault="00246845" w:rsidP="00246845">
      <w:pPr>
        <w:ind w:left="705" w:hanging="705"/>
        <w:jc w:val="both"/>
        <w:rPr>
          <w:rFonts w:ascii="Garamond" w:hAnsi="Garamond"/>
          <w:sz w:val="22"/>
          <w:szCs w:val="22"/>
        </w:rPr>
      </w:pPr>
      <w:r w:rsidRPr="00EC0974">
        <w:rPr>
          <w:rFonts w:ascii="Garamond" w:hAnsi="Garamond"/>
          <w:sz w:val="22"/>
          <w:szCs w:val="22"/>
        </w:rPr>
        <w:t xml:space="preserve">1.§ </w:t>
      </w:r>
      <w:r w:rsidRPr="00EC0974">
        <w:rPr>
          <w:rFonts w:ascii="Garamond" w:hAnsi="Garamond"/>
          <w:sz w:val="22"/>
          <w:szCs w:val="22"/>
        </w:rPr>
        <w:tab/>
        <w:t>Az önkormányzat a gyermekjóléti szolgáltatást a Tapolca Környéki Önkormányzati Társulás Balaton-felvidéki Szociális, Gyermekjóléti és Háziorvosi Ügyeleti Szolgálatán (8300 Tapolca, Nyárfa utca 2.) keresztül biztosítja.</w:t>
      </w:r>
    </w:p>
    <w:p w:rsidR="00246845" w:rsidRPr="00EC0974" w:rsidRDefault="00246845" w:rsidP="00246845">
      <w:pPr>
        <w:pStyle w:val="FejezetCm"/>
        <w:spacing w:before="0" w:after="0"/>
        <w:ind w:left="360" w:hanging="360"/>
        <w:rPr>
          <w:rFonts w:ascii="Garamond" w:hAnsi="Garamond"/>
          <w:i w:val="0"/>
          <w:noProof w:val="0"/>
          <w:sz w:val="22"/>
          <w:szCs w:val="22"/>
          <w:lang w:val="hu-HU"/>
        </w:rPr>
      </w:pPr>
    </w:p>
    <w:p w:rsidR="00246845" w:rsidRPr="00EC0974" w:rsidRDefault="00246845" w:rsidP="00246845">
      <w:pPr>
        <w:pStyle w:val="Szvegtrzsbehzssal"/>
        <w:spacing w:after="0"/>
        <w:ind w:left="705" w:hanging="705"/>
        <w:jc w:val="both"/>
        <w:rPr>
          <w:rFonts w:ascii="Garamond" w:hAnsi="Garamond"/>
          <w:sz w:val="22"/>
          <w:szCs w:val="22"/>
        </w:rPr>
      </w:pPr>
      <w:r w:rsidRPr="00EC0974">
        <w:rPr>
          <w:rFonts w:ascii="Garamond" w:hAnsi="Garamond"/>
          <w:sz w:val="22"/>
          <w:szCs w:val="22"/>
        </w:rPr>
        <w:t xml:space="preserve">2.§ </w:t>
      </w:r>
      <w:r w:rsidRPr="00EC0974">
        <w:rPr>
          <w:rFonts w:ascii="Garamond" w:hAnsi="Garamond"/>
          <w:sz w:val="22"/>
          <w:szCs w:val="22"/>
        </w:rPr>
        <w:tab/>
        <w:t xml:space="preserve">A képviselő-testület az óvodai ellátásban és az iskolai </w:t>
      </w:r>
      <w:proofErr w:type="spellStart"/>
      <w:r w:rsidRPr="00EC0974">
        <w:rPr>
          <w:rFonts w:ascii="Garamond" w:hAnsi="Garamond"/>
          <w:sz w:val="22"/>
          <w:szCs w:val="22"/>
        </w:rPr>
        <w:t>napközis</w:t>
      </w:r>
      <w:proofErr w:type="spellEnd"/>
      <w:r w:rsidRPr="00EC0974">
        <w:rPr>
          <w:rFonts w:ascii="Garamond" w:hAnsi="Garamond"/>
          <w:sz w:val="22"/>
          <w:szCs w:val="22"/>
        </w:rPr>
        <w:t xml:space="preserve"> ellátást igénybe vevő gyermekek részére a MENÜ Kft. által biztosított étkeztetésért fizetendő térítési díjakat a rendelet 1. melléklete szerint határozza meg.</w:t>
      </w:r>
    </w:p>
    <w:p w:rsidR="00246845" w:rsidRPr="00EC0974" w:rsidRDefault="00246845" w:rsidP="00246845">
      <w:pPr>
        <w:pStyle w:val="Szvegtrzsbehzssal"/>
        <w:spacing w:after="0"/>
        <w:ind w:left="705" w:hanging="705"/>
        <w:rPr>
          <w:rFonts w:ascii="Garamond" w:hAnsi="Garamond"/>
          <w:sz w:val="22"/>
          <w:szCs w:val="22"/>
        </w:rPr>
      </w:pPr>
    </w:p>
    <w:p w:rsidR="00246845" w:rsidRPr="00EC0974" w:rsidRDefault="00246845" w:rsidP="00246845">
      <w:pPr>
        <w:pStyle w:val="Szvegtrzsbehzssal"/>
        <w:spacing w:after="0"/>
        <w:ind w:left="360" w:hanging="360"/>
        <w:rPr>
          <w:rFonts w:ascii="Garamond" w:hAnsi="Garamond"/>
          <w:sz w:val="22"/>
          <w:szCs w:val="22"/>
        </w:rPr>
      </w:pPr>
      <w:r w:rsidRPr="00EC0974">
        <w:rPr>
          <w:rFonts w:ascii="Garamond" w:hAnsi="Garamond"/>
          <w:sz w:val="22"/>
          <w:szCs w:val="22"/>
        </w:rPr>
        <w:t xml:space="preserve">3.§ </w:t>
      </w:r>
      <w:r w:rsidRPr="00EC0974">
        <w:rPr>
          <w:rFonts w:ascii="Garamond" w:hAnsi="Garamond"/>
          <w:sz w:val="22"/>
          <w:szCs w:val="22"/>
        </w:rPr>
        <w:tab/>
        <w:t>(1)</w:t>
      </w:r>
      <w:r w:rsidRPr="00EC0974">
        <w:rPr>
          <w:rFonts w:ascii="Garamond" w:hAnsi="Garamond"/>
          <w:sz w:val="22"/>
          <w:szCs w:val="22"/>
        </w:rPr>
        <w:tab/>
        <w:t xml:space="preserve">Ez a rendelet </w:t>
      </w:r>
      <w:r>
        <w:rPr>
          <w:rFonts w:ascii="Garamond" w:hAnsi="Garamond"/>
          <w:sz w:val="22"/>
          <w:szCs w:val="22"/>
        </w:rPr>
        <w:t>a kihirdetést követő napon</w:t>
      </w:r>
      <w:r w:rsidRPr="00EC0974">
        <w:rPr>
          <w:rFonts w:ascii="Garamond" w:hAnsi="Garamond"/>
          <w:sz w:val="22"/>
          <w:szCs w:val="22"/>
        </w:rPr>
        <w:t xml:space="preserve"> lép hatályba.</w:t>
      </w:r>
    </w:p>
    <w:p w:rsidR="00246845" w:rsidRPr="00EC0974" w:rsidRDefault="00246845" w:rsidP="00246845">
      <w:pPr>
        <w:pStyle w:val="Szvegtrzsbehzssal"/>
        <w:spacing w:after="0"/>
        <w:ind w:left="720" w:hanging="360"/>
        <w:jc w:val="both"/>
        <w:rPr>
          <w:rFonts w:ascii="Garamond" w:hAnsi="Garamond"/>
          <w:sz w:val="22"/>
          <w:szCs w:val="22"/>
        </w:rPr>
      </w:pPr>
      <w:r w:rsidRPr="00EC0974">
        <w:rPr>
          <w:rFonts w:ascii="Garamond" w:hAnsi="Garamond"/>
          <w:sz w:val="22"/>
          <w:szCs w:val="22"/>
        </w:rPr>
        <w:t>(2)</w:t>
      </w:r>
      <w:r w:rsidRPr="00EC0974">
        <w:rPr>
          <w:rFonts w:ascii="Garamond" w:hAnsi="Garamond"/>
          <w:sz w:val="22"/>
          <w:szCs w:val="22"/>
        </w:rPr>
        <w:tab/>
        <w:t xml:space="preserve">A rendelet hatályba lépésével egyidejűleg hatályát veszti Badacsonytomaj Város Önkormányzata Képviselő-testületének a gyermekvédelmi ellátásokról szóló </w:t>
      </w:r>
      <w:r>
        <w:rPr>
          <w:rFonts w:ascii="Garamond" w:hAnsi="Garamond"/>
          <w:sz w:val="22"/>
          <w:szCs w:val="22"/>
        </w:rPr>
        <w:t>4</w:t>
      </w:r>
      <w:r w:rsidRPr="00EC0974">
        <w:rPr>
          <w:rFonts w:ascii="Garamond" w:hAnsi="Garamond"/>
          <w:sz w:val="22"/>
          <w:szCs w:val="22"/>
        </w:rPr>
        <w:t>/20</w:t>
      </w:r>
      <w:r>
        <w:rPr>
          <w:rFonts w:ascii="Garamond" w:hAnsi="Garamond"/>
          <w:sz w:val="22"/>
          <w:szCs w:val="22"/>
        </w:rPr>
        <w:t>17</w:t>
      </w:r>
      <w:r w:rsidRPr="00EC0974">
        <w:rPr>
          <w:rFonts w:ascii="Garamond" w:hAnsi="Garamond"/>
          <w:sz w:val="22"/>
          <w:szCs w:val="22"/>
        </w:rPr>
        <w:t>.(III.</w:t>
      </w:r>
      <w:r>
        <w:rPr>
          <w:rFonts w:ascii="Garamond" w:hAnsi="Garamond"/>
          <w:sz w:val="22"/>
          <w:szCs w:val="22"/>
        </w:rPr>
        <w:t>1</w:t>
      </w:r>
      <w:r w:rsidRPr="00EC0974">
        <w:rPr>
          <w:rFonts w:ascii="Garamond" w:hAnsi="Garamond"/>
          <w:sz w:val="22"/>
          <w:szCs w:val="22"/>
        </w:rPr>
        <w:t>0.) önkormányzati rendelete.</w:t>
      </w:r>
    </w:p>
    <w:p w:rsidR="00246845" w:rsidRPr="00EC0974" w:rsidRDefault="00246845" w:rsidP="00246845">
      <w:pPr>
        <w:pStyle w:val="Szvegtrzsbehzssal"/>
        <w:spacing w:after="0"/>
        <w:ind w:left="720" w:hanging="360"/>
        <w:rPr>
          <w:rFonts w:ascii="Garamond" w:hAnsi="Garamond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5"/>
        <w:gridCol w:w="4517"/>
      </w:tblGrid>
      <w:tr w:rsidR="00246845" w:rsidRPr="00EC0974" w:rsidTr="00FC02B1">
        <w:tc>
          <w:tcPr>
            <w:tcW w:w="4657" w:type="dxa"/>
          </w:tcPr>
          <w:p w:rsidR="00246845" w:rsidRPr="00EC0974" w:rsidRDefault="00246845" w:rsidP="00FC02B1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Krisztin N. László </w:t>
            </w:r>
            <w:proofErr w:type="spellStart"/>
            <w:r w:rsidRPr="00EC0974">
              <w:rPr>
                <w:rFonts w:ascii="Garamond" w:hAnsi="Garamond"/>
                <w:sz w:val="22"/>
                <w:szCs w:val="22"/>
              </w:rPr>
              <w:t>sk</w:t>
            </w:r>
            <w:proofErr w:type="spellEnd"/>
            <w:r w:rsidRPr="00EC0974">
              <w:rPr>
                <w:rFonts w:ascii="Garamond" w:hAnsi="Garamond"/>
                <w:sz w:val="22"/>
                <w:szCs w:val="22"/>
              </w:rPr>
              <w:t>.</w:t>
            </w:r>
          </w:p>
          <w:p w:rsidR="00246845" w:rsidRPr="00EC0974" w:rsidRDefault="00246845" w:rsidP="00FC02B1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EC0974">
              <w:rPr>
                <w:rFonts w:ascii="Garamond" w:hAnsi="Garamond"/>
                <w:sz w:val="22"/>
                <w:szCs w:val="22"/>
              </w:rPr>
              <w:t>polgármester</w:t>
            </w:r>
          </w:p>
        </w:tc>
        <w:tc>
          <w:tcPr>
            <w:tcW w:w="4631" w:type="dxa"/>
          </w:tcPr>
          <w:p w:rsidR="00246845" w:rsidRPr="00EC0974" w:rsidRDefault="00246845" w:rsidP="00FC02B1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EC0974">
              <w:rPr>
                <w:rFonts w:ascii="Garamond" w:hAnsi="Garamond"/>
                <w:sz w:val="22"/>
                <w:szCs w:val="22"/>
              </w:rPr>
              <w:t xml:space="preserve">Wolf Viktória </w:t>
            </w:r>
            <w:proofErr w:type="spellStart"/>
            <w:r w:rsidRPr="00EC0974">
              <w:rPr>
                <w:rFonts w:ascii="Garamond" w:hAnsi="Garamond"/>
                <w:sz w:val="22"/>
                <w:szCs w:val="22"/>
              </w:rPr>
              <w:t>sk</w:t>
            </w:r>
            <w:proofErr w:type="spellEnd"/>
            <w:r w:rsidRPr="00EC0974">
              <w:rPr>
                <w:rFonts w:ascii="Garamond" w:hAnsi="Garamond"/>
                <w:sz w:val="22"/>
                <w:szCs w:val="22"/>
              </w:rPr>
              <w:t>.</w:t>
            </w:r>
          </w:p>
          <w:p w:rsidR="00246845" w:rsidRPr="00EC0974" w:rsidRDefault="00246845" w:rsidP="00FC02B1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EC0974">
              <w:rPr>
                <w:rFonts w:ascii="Garamond" w:hAnsi="Garamond"/>
                <w:sz w:val="22"/>
                <w:szCs w:val="22"/>
              </w:rPr>
              <w:t>jegyző</w:t>
            </w:r>
          </w:p>
        </w:tc>
      </w:tr>
    </w:tbl>
    <w:p w:rsidR="00246845" w:rsidRPr="00EC0974" w:rsidRDefault="00246845" w:rsidP="00246845">
      <w:pPr>
        <w:rPr>
          <w:rFonts w:ascii="Garamond" w:hAnsi="Garamond"/>
          <w:sz w:val="22"/>
          <w:szCs w:val="22"/>
        </w:rPr>
      </w:pPr>
      <w:r w:rsidRPr="00EC0974">
        <w:rPr>
          <w:rFonts w:ascii="Garamond" w:hAnsi="Garamond"/>
          <w:sz w:val="22"/>
          <w:szCs w:val="22"/>
        </w:rPr>
        <w:br/>
        <w:t>Kihirdetési záradék:</w:t>
      </w:r>
    </w:p>
    <w:p w:rsidR="00246845" w:rsidRPr="00EC0974" w:rsidRDefault="00246845" w:rsidP="00246845">
      <w:pPr>
        <w:rPr>
          <w:rFonts w:ascii="Garamond" w:hAnsi="Garamond"/>
          <w:sz w:val="22"/>
          <w:szCs w:val="22"/>
        </w:rPr>
      </w:pPr>
      <w:r w:rsidRPr="00EC0974">
        <w:rPr>
          <w:rFonts w:ascii="Garamond" w:hAnsi="Garamond"/>
          <w:sz w:val="22"/>
          <w:szCs w:val="22"/>
        </w:rPr>
        <w:t>A rendelet 201</w:t>
      </w:r>
      <w:r>
        <w:rPr>
          <w:rFonts w:ascii="Garamond" w:hAnsi="Garamond"/>
          <w:sz w:val="22"/>
          <w:szCs w:val="22"/>
        </w:rPr>
        <w:t>8</w:t>
      </w:r>
      <w:r w:rsidRPr="00EC0974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február</w:t>
      </w:r>
      <w:r w:rsidRPr="00EC0974">
        <w:rPr>
          <w:rFonts w:ascii="Garamond" w:hAnsi="Garamond"/>
          <w:sz w:val="22"/>
          <w:szCs w:val="22"/>
        </w:rPr>
        <w:t xml:space="preserve"> …. napján kihirdetésre került.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8"/>
        <w:gridCol w:w="4564"/>
      </w:tblGrid>
      <w:tr w:rsidR="00246845" w:rsidRPr="00EC0974" w:rsidTr="00FC02B1">
        <w:tc>
          <w:tcPr>
            <w:tcW w:w="4625" w:type="dxa"/>
          </w:tcPr>
          <w:p w:rsidR="00246845" w:rsidRPr="00EC0974" w:rsidRDefault="00246845" w:rsidP="00FC02B1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EC0974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4663" w:type="dxa"/>
          </w:tcPr>
          <w:p w:rsidR="00246845" w:rsidRPr="00EC0974" w:rsidRDefault="00246845" w:rsidP="00FC02B1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EC0974">
              <w:rPr>
                <w:rFonts w:ascii="Garamond" w:hAnsi="Garamond"/>
                <w:sz w:val="22"/>
                <w:szCs w:val="22"/>
              </w:rPr>
              <w:t xml:space="preserve">Wolf Viktória </w:t>
            </w:r>
            <w:proofErr w:type="spellStart"/>
            <w:r w:rsidRPr="00EC0974">
              <w:rPr>
                <w:rFonts w:ascii="Garamond" w:hAnsi="Garamond"/>
                <w:sz w:val="22"/>
                <w:szCs w:val="22"/>
              </w:rPr>
              <w:t>sk</w:t>
            </w:r>
            <w:proofErr w:type="spellEnd"/>
            <w:r w:rsidRPr="00EC0974">
              <w:rPr>
                <w:rFonts w:ascii="Garamond" w:hAnsi="Garamond"/>
                <w:sz w:val="22"/>
                <w:szCs w:val="22"/>
              </w:rPr>
              <w:t>.</w:t>
            </w:r>
          </w:p>
          <w:p w:rsidR="00246845" w:rsidRPr="00EC0974" w:rsidRDefault="00246845" w:rsidP="00FC02B1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EC0974">
              <w:rPr>
                <w:rFonts w:ascii="Garamond" w:hAnsi="Garamond"/>
                <w:sz w:val="22"/>
                <w:szCs w:val="22"/>
              </w:rPr>
              <w:t>jegyző</w:t>
            </w:r>
          </w:p>
        </w:tc>
      </w:tr>
    </w:tbl>
    <w:p w:rsidR="00246845" w:rsidRPr="00EC0974" w:rsidRDefault="00246845" w:rsidP="00246845">
      <w:pPr>
        <w:pStyle w:val="Szvegtrzsbehzssal"/>
        <w:tabs>
          <w:tab w:val="center" w:pos="2340"/>
          <w:tab w:val="center" w:pos="6840"/>
        </w:tabs>
        <w:spacing w:after="0"/>
        <w:ind w:firstLine="2112"/>
        <w:jc w:val="right"/>
        <w:rPr>
          <w:rFonts w:ascii="Garamond" w:hAnsi="Garamond"/>
          <w:sz w:val="22"/>
          <w:szCs w:val="22"/>
        </w:rPr>
      </w:pPr>
    </w:p>
    <w:p w:rsidR="00246845" w:rsidRPr="00EC0974" w:rsidRDefault="00246845" w:rsidP="00246845">
      <w:pPr>
        <w:pStyle w:val="Szvegtrzsbehzssal"/>
        <w:tabs>
          <w:tab w:val="center" w:pos="2340"/>
          <w:tab w:val="center" w:pos="6840"/>
        </w:tabs>
        <w:spacing w:after="0"/>
        <w:ind w:firstLine="2112"/>
        <w:jc w:val="right"/>
        <w:rPr>
          <w:rFonts w:ascii="Garamond" w:hAnsi="Garamond"/>
          <w:sz w:val="22"/>
          <w:szCs w:val="22"/>
        </w:rPr>
      </w:pPr>
    </w:p>
    <w:p w:rsidR="00246845" w:rsidRPr="00EC0974" w:rsidRDefault="00246845" w:rsidP="00246845">
      <w:pPr>
        <w:pStyle w:val="Szvegtrzsbehzssal"/>
        <w:tabs>
          <w:tab w:val="center" w:pos="2340"/>
          <w:tab w:val="center" w:pos="6840"/>
        </w:tabs>
        <w:spacing w:after="0"/>
        <w:ind w:firstLine="2112"/>
        <w:jc w:val="right"/>
        <w:rPr>
          <w:rFonts w:ascii="Garamond" w:hAnsi="Garamond"/>
          <w:sz w:val="22"/>
          <w:szCs w:val="22"/>
        </w:rPr>
      </w:pPr>
      <w:r w:rsidRPr="00EC0974">
        <w:rPr>
          <w:rFonts w:ascii="Garamond" w:hAnsi="Garamond"/>
          <w:sz w:val="22"/>
          <w:szCs w:val="22"/>
        </w:rPr>
        <w:t>1. melléklet a …/201</w:t>
      </w:r>
      <w:r>
        <w:rPr>
          <w:rFonts w:ascii="Garamond" w:hAnsi="Garamond"/>
          <w:sz w:val="22"/>
          <w:szCs w:val="22"/>
        </w:rPr>
        <w:t>8</w:t>
      </w:r>
      <w:r w:rsidRPr="00EC0974">
        <w:rPr>
          <w:rFonts w:ascii="Garamond" w:hAnsi="Garamond"/>
          <w:sz w:val="22"/>
          <w:szCs w:val="22"/>
        </w:rPr>
        <w:t>.(</w:t>
      </w:r>
      <w:proofErr w:type="gramStart"/>
      <w:r>
        <w:rPr>
          <w:rFonts w:ascii="Garamond" w:hAnsi="Garamond"/>
          <w:sz w:val="22"/>
          <w:szCs w:val="22"/>
        </w:rPr>
        <w:t>II</w:t>
      </w:r>
      <w:r w:rsidRPr="00EC0974">
        <w:rPr>
          <w:rFonts w:ascii="Garamond" w:hAnsi="Garamond"/>
          <w:sz w:val="22"/>
          <w:szCs w:val="22"/>
        </w:rPr>
        <w:t>….</w:t>
      </w:r>
      <w:proofErr w:type="gramEnd"/>
      <w:r w:rsidRPr="00EC0974">
        <w:rPr>
          <w:rFonts w:ascii="Garamond" w:hAnsi="Garamond"/>
          <w:sz w:val="22"/>
          <w:szCs w:val="22"/>
        </w:rPr>
        <w:t>) önkormányzati rendelethez</w:t>
      </w:r>
    </w:p>
    <w:p w:rsidR="00246845" w:rsidRPr="00EC0974" w:rsidRDefault="00246845" w:rsidP="00246845">
      <w:pPr>
        <w:pStyle w:val="Cm"/>
        <w:rPr>
          <w:rFonts w:ascii="Garamond" w:hAnsi="Garamond"/>
          <w:b w:val="0"/>
          <w:sz w:val="22"/>
          <w:szCs w:val="22"/>
        </w:rPr>
      </w:pPr>
    </w:p>
    <w:p w:rsidR="00246845" w:rsidRPr="00EC0974" w:rsidRDefault="00246845" w:rsidP="00246845">
      <w:pPr>
        <w:jc w:val="center"/>
        <w:rPr>
          <w:rFonts w:ascii="Garamond" w:hAnsi="Garamond"/>
          <w:sz w:val="22"/>
          <w:szCs w:val="22"/>
        </w:rPr>
      </w:pPr>
      <w:r w:rsidRPr="00EC0974">
        <w:rPr>
          <w:rFonts w:ascii="Garamond" w:hAnsi="Garamond"/>
          <w:sz w:val="22"/>
          <w:szCs w:val="22"/>
        </w:rPr>
        <w:t>Térítési díjak</w:t>
      </w:r>
    </w:p>
    <w:p w:rsidR="00246845" w:rsidRPr="00EC0974" w:rsidRDefault="00246845" w:rsidP="00246845">
      <w:pPr>
        <w:rPr>
          <w:rFonts w:ascii="Garamond" w:hAnsi="Garamond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914"/>
        <w:gridCol w:w="2874"/>
      </w:tblGrid>
      <w:tr w:rsidR="00246845" w:rsidRPr="00306279" w:rsidTr="00FC02B1">
        <w:tc>
          <w:tcPr>
            <w:tcW w:w="6306" w:type="dxa"/>
            <w:gridSpan w:val="2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2874" w:type="dxa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B</w:t>
            </w:r>
          </w:p>
        </w:tc>
      </w:tr>
      <w:tr w:rsidR="00246845" w:rsidRPr="00306279" w:rsidTr="00FC02B1">
        <w:tc>
          <w:tcPr>
            <w:tcW w:w="6306" w:type="dxa"/>
            <w:gridSpan w:val="2"/>
            <w:vAlign w:val="center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Megnevezés</w:t>
            </w:r>
          </w:p>
        </w:tc>
        <w:tc>
          <w:tcPr>
            <w:tcW w:w="2874" w:type="dxa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Bekerülési költség/Intézményi térítési díj</w:t>
            </w:r>
          </w:p>
        </w:tc>
      </w:tr>
      <w:tr w:rsidR="00246845" w:rsidRPr="00306279" w:rsidTr="00FC02B1">
        <w:tc>
          <w:tcPr>
            <w:tcW w:w="392" w:type="dxa"/>
          </w:tcPr>
          <w:p w:rsidR="00246845" w:rsidRPr="00306279" w:rsidRDefault="00246845" w:rsidP="00FC02B1">
            <w:pPr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5914" w:type="dxa"/>
          </w:tcPr>
          <w:p w:rsidR="00246845" w:rsidRPr="00306279" w:rsidRDefault="00246845" w:rsidP="00FC02B1">
            <w:pPr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óvodás gyermek étkeztetése</w:t>
            </w:r>
          </w:p>
        </w:tc>
        <w:tc>
          <w:tcPr>
            <w:tcW w:w="2874" w:type="dxa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445,- Ft/fő/nap</w:t>
            </w:r>
          </w:p>
        </w:tc>
      </w:tr>
      <w:tr w:rsidR="00246845" w:rsidRPr="00306279" w:rsidTr="00FC02B1">
        <w:tc>
          <w:tcPr>
            <w:tcW w:w="392" w:type="dxa"/>
          </w:tcPr>
          <w:p w:rsidR="00246845" w:rsidRPr="00306279" w:rsidRDefault="00246845" w:rsidP="00FC02B1">
            <w:pPr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5914" w:type="dxa"/>
          </w:tcPr>
          <w:p w:rsidR="00246845" w:rsidRPr="00306279" w:rsidRDefault="00246845" w:rsidP="00FC02B1">
            <w:pPr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óvodás gyermek étkeztetése speciális táplálkozási igény szerinti étrend esetén</w:t>
            </w:r>
          </w:p>
        </w:tc>
        <w:tc>
          <w:tcPr>
            <w:tcW w:w="2874" w:type="dxa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490,- Ft/fő/nap</w:t>
            </w:r>
          </w:p>
        </w:tc>
      </w:tr>
      <w:tr w:rsidR="00246845" w:rsidRPr="00306279" w:rsidTr="00FC02B1">
        <w:tc>
          <w:tcPr>
            <w:tcW w:w="392" w:type="dxa"/>
          </w:tcPr>
          <w:p w:rsidR="00246845" w:rsidRPr="00306279" w:rsidRDefault="00246845" w:rsidP="00FC02B1">
            <w:pPr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5914" w:type="dxa"/>
          </w:tcPr>
          <w:p w:rsidR="00246845" w:rsidRPr="00306279" w:rsidRDefault="00246845" w:rsidP="00FC02B1">
            <w:pPr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általános iskola napközi otthonos egész napos ellátás</w:t>
            </w:r>
          </w:p>
        </w:tc>
        <w:tc>
          <w:tcPr>
            <w:tcW w:w="2874" w:type="dxa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580,- Ft/fő/nap</w:t>
            </w:r>
          </w:p>
        </w:tc>
      </w:tr>
      <w:tr w:rsidR="00246845" w:rsidRPr="00306279" w:rsidTr="00FC02B1">
        <w:tc>
          <w:tcPr>
            <w:tcW w:w="392" w:type="dxa"/>
          </w:tcPr>
          <w:p w:rsidR="00246845" w:rsidRPr="00306279" w:rsidRDefault="00246845" w:rsidP="00FC02B1">
            <w:pPr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5914" w:type="dxa"/>
          </w:tcPr>
          <w:p w:rsidR="00246845" w:rsidRPr="00306279" w:rsidRDefault="00246845" w:rsidP="00FC02B1">
            <w:pPr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általános iskola napközi otthonos egész napos ellátás speciális táplálkozási igény szerinti étrend esetén</w:t>
            </w:r>
          </w:p>
        </w:tc>
        <w:tc>
          <w:tcPr>
            <w:tcW w:w="2874" w:type="dxa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625,- Ft/fő/nap</w:t>
            </w:r>
          </w:p>
        </w:tc>
      </w:tr>
      <w:tr w:rsidR="00246845" w:rsidRPr="00306279" w:rsidTr="00FC02B1">
        <w:tc>
          <w:tcPr>
            <w:tcW w:w="392" w:type="dxa"/>
          </w:tcPr>
          <w:p w:rsidR="00246845" w:rsidRPr="00306279" w:rsidRDefault="00246845" w:rsidP="00FC02B1">
            <w:pPr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5914" w:type="dxa"/>
          </w:tcPr>
          <w:p w:rsidR="00246845" w:rsidRPr="00306279" w:rsidRDefault="00246845" w:rsidP="00FC02B1">
            <w:pPr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általános iskolai menza ebéd</w:t>
            </w:r>
          </w:p>
        </w:tc>
        <w:tc>
          <w:tcPr>
            <w:tcW w:w="2874" w:type="dxa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390,- Ft/fő/nap</w:t>
            </w:r>
          </w:p>
        </w:tc>
      </w:tr>
      <w:tr w:rsidR="00246845" w:rsidRPr="00EC0974" w:rsidTr="00FC02B1">
        <w:tc>
          <w:tcPr>
            <w:tcW w:w="392" w:type="dxa"/>
          </w:tcPr>
          <w:p w:rsidR="00246845" w:rsidRPr="00306279" w:rsidRDefault="00246845" w:rsidP="00FC02B1">
            <w:pPr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5914" w:type="dxa"/>
          </w:tcPr>
          <w:p w:rsidR="00246845" w:rsidRPr="00306279" w:rsidRDefault="00246845" w:rsidP="00FC02B1">
            <w:pPr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általános iskolai menza ebéd speciális táplálkozási igény szerinti étrend esetén</w:t>
            </w:r>
          </w:p>
        </w:tc>
        <w:tc>
          <w:tcPr>
            <w:tcW w:w="2874" w:type="dxa"/>
          </w:tcPr>
          <w:p w:rsidR="00246845" w:rsidRPr="00306279" w:rsidRDefault="00246845" w:rsidP="00FC02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279">
              <w:rPr>
                <w:rFonts w:ascii="Garamond" w:hAnsi="Garamond"/>
                <w:sz w:val="22"/>
                <w:szCs w:val="22"/>
              </w:rPr>
              <w:t>435,- Ft/fő/nap</w:t>
            </w:r>
          </w:p>
        </w:tc>
      </w:tr>
    </w:tbl>
    <w:p w:rsidR="00246845" w:rsidRPr="00EC0974" w:rsidRDefault="00246845" w:rsidP="00246845">
      <w:pPr>
        <w:pStyle w:val="Nincstrkz"/>
        <w:rPr>
          <w:rFonts w:ascii="Garamond" w:hAnsi="Garamond"/>
          <w:color w:val="FF0000"/>
          <w:sz w:val="22"/>
        </w:rPr>
      </w:pPr>
    </w:p>
    <w:p w:rsidR="00246845" w:rsidRPr="00EC0974" w:rsidRDefault="00246845" w:rsidP="00246845">
      <w:pPr>
        <w:rPr>
          <w:rFonts w:ascii="Garamond" w:hAnsi="Garamond"/>
          <w:sz w:val="22"/>
          <w:szCs w:val="22"/>
        </w:rPr>
      </w:pPr>
    </w:p>
    <w:p w:rsidR="00F21DAC" w:rsidRDefault="00F21DAC"/>
    <w:sectPr w:rsidR="00F21DAC"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54B" w:rsidRDefault="001B754B">
      <w:r>
        <w:separator/>
      </w:r>
    </w:p>
  </w:endnote>
  <w:endnote w:type="continuationSeparator" w:id="0">
    <w:p w:rsidR="001B754B" w:rsidRDefault="001B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AntiquaOOEn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17E" w:rsidRDefault="00246845">
    <w:pPr>
      <w:pStyle w:val="llb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1998345</wp:posOffset>
          </wp:positionH>
          <wp:positionV relativeFrom="paragraph">
            <wp:posOffset>129540</wp:posOffset>
          </wp:positionV>
          <wp:extent cx="1306195" cy="330200"/>
          <wp:effectExtent l="0" t="0" r="8255" b="0"/>
          <wp:wrapNone/>
          <wp:docPr id="2" name="Kép 2" descr="Badacsonyi_borvidek_dire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dacsonyi_borvidek_dire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417E" w:rsidRDefault="001B754B">
    <w:pPr>
      <w:pStyle w:val="llb"/>
    </w:pPr>
  </w:p>
  <w:p w:rsidR="003D417E" w:rsidRDefault="001B75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54B" w:rsidRDefault="001B754B">
      <w:r>
        <w:separator/>
      </w:r>
    </w:p>
  </w:footnote>
  <w:footnote w:type="continuationSeparator" w:id="0">
    <w:p w:rsidR="001B754B" w:rsidRDefault="001B7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45"/>
    <w:rsid w:val="001B754B"/>
    <w:rsid w:val="00246845"/>
    <w:rsid w:val="00DA6931"/>
    <w:rsid w:val="00F2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F598E"/>
  <w15:chartTrackingRefBased/>
  <w15:docId w15:val="{868DAF0B-FAB0-4A3A-A453-147446C4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46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46845"/>
    <w:pPr>
      <w:keepNext/>
      <w:jc w:val="both"/>
      <w:outlineLvl w:val="0"/>
    </w:pPr>
    <w:rPr>
      <w:i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46845"/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24684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2468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">
    <w:name w:val="List"/>
    <w:basedOn w:val="Norml"/>
    <w:unhideWhenUsed/>
    <w:rsid w:val="00246845"/>
    <w:pPr>
      <w:suppressAutoHyphens/>
      <w:ind w:left="283" w:hanging="283"/>
    </w:pPr>
    <w:rPr>
      <w:sz w:val="20"/>
      <w:szCs w:val="20"/>
      <w:lang w:eastAsia="ar-SA"/>
    </w:rPr>
  </w:style>
  <w:style w:type="paragraph" w:styleId="Szvegtrzsbehzssal">
    <w:name w:val="Body Text Indent"/>
    <w:basedOn w:val="Norml"/>
    <w:link w:val="SzvegtrzsbehzssalChar"/>
    <w:rsid w:val="0024684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468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246845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46845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246845"/>
  </w:style>
  <w:style w:type="paragraph" w:styleId="Cm">
    <w:name w:val="Title"/>
    <w:basedOn w:val="Norml"/>
    <w:link w:val="CmChar"/>
    <w:qFormat/>
    <w:rsid w:val="00246845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246845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Nincstrkz">
    <w:name w:val="No Spacing"/>
    <w:qFormat/>
    <w:rsid w:val="0024684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FejezetCm">
    <w:name w:val="FejezetCím"/>
    <w:basedOn w:val="Norml"/>
    <w:rsid w:val="00246845"/>
    <w:pPr>
      <w:keepNext/>
      <w:keepLines/>
      <w:spacing w:before="480" w:after="240"/>
      <w:jc w:val="center"/>
    </w:pPr>
    <w:rPr>
      <w:b/>
      <w:i/>
      <w:noProof/>
      <w:szCs w:val="20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2468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84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en.hu/optijus/lawtext/1321?tvalid=2017.3.1.&amp;tpara=para29" TargetMode="External"/><Relationship Id="rId13" Type="http://schemas.openxmlformats.org/officeDocument/2006/relationships/hyperlink" Target="https://www.opten.hu/optijus/lawtext/1321" TargetMode="External"/><Relationship Id="rId18" Type="http://schemas.openxmlformats.org/officeDocument/2006/relationships/hyperlink" Target="https://www.opten.hu/optijus/lawtext/1321" TargetMode="External"/><Relationship Id="rId26" Type="http://schemas.openxmlformats.org/officeDocument/2006/relationships/hyperlink" Target="https://www.opten.hu/optijus/lawtext/1321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opten.hu/optijus/lawtext/1321" TargetMode="External"/><Relationship Id="rId34" Type="http://schemas.openxmlformats.org/officeDocument/2006/relationships/hyperlink" Target="https://www.opten.hu/optijus/lawtext/1321" TargetMode="External"/><Relationship Id="rId7" Type="http://schemas.openxmlformats.org/officeDocument/2006/relationships/hyperlink" Target="https://www.opten.hu/optijus/lawtext/1321" TargetMode="External"/><Relationship Id="rId12" Type="http://schemas.openxmlformats.org/officeDocument/2006/relationships/hyperlink" Target="https://www.opten.hu/optijus/lawtext/1321" TargetMode="External"/><Relationship Id="rId17" Type="http://schemas.openxmlformats.org/officeDocument/2006/relationships/hyperlink" Target="https://www.opten.hu/optijus/lawtext/1321" TargetMode="External"/><Relationship Id="rId25" Type="http://schemas.openxmlformats.org/officeDocument/2006/relationships/hyperlink" Target="https://www.opten.hu/optijus/lawtext/1321?tvalid=2017.3.1.&amp;tpara=para29" TargetMode="External"/><Relationship Id="rId33" Type="http://schemas.openxmlformats.org/officeDocument/2006/relationships/hyperlink" Target="https://www.opten.hu/optijus/lawtext/1321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opten.hu/optijus/lawtext/1321" TargetMode="External"/><Relationship Id="rId20" Type="http://schemas.openxmlformats.org/officeDocument/2006/relationships/hyperlink" Target="https://www.opten.hu/optijus/lawtext/1321" TargetMode="External"/><Relationship Id="rId29" Type="http://schemas.openxmlformats.org/officeDocument/2006/relationships/hyperlink" Target="https://www.opten.hu/optijus/lawtext/132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ten.hu/optijus/lawtext/1321" TargetMode="External"/><Relationship Id="rId11" Type="http://schemas.openxmlformats.org/officeDocument/2006/relationships/hyperlink" Target="https://www.opten.hu/optijus/lawtext/1321?tvalid=2017.3.1.&amp;tpara=para29" TargetMode="External"/><Relationship Id="rId24" Type="http://schemas.openxmlformats.org/officeDocument/2006/relationships/hyperlink" Target="https://www.opten.hu/optijus/lawtext/1321" TargetMode="External"/><Relationship Id="rId32" Type="http://schemas.openxmlformats.org/officeDocument/2006/relationships/hyperlink" Target="https://www.opten.hu/optijus/lawtext/1321" TargetMode="External"/><Relationship Id="rId37" Type="http://schemas.openxmlformats.org/officeDocument/2006/relationships/hyperlink" Target="http://www.opten.hu/loadpage.php?dest=OISZ&amp;twhich=151828&amp;srcid=ol7493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opten.hu/optijus/lawtext/1321" TargetMode="External"/><Relationship Id="rId23" Type="http://schemas.openxmlformats.org/officeDocument/2006/relationships/hyperlink" Target="https://www.opten.hu/optijus/lawtext/219454" TargetMode="External"/><Relationship Id="rId28" Type="http://schemas.openxmlformats.org/officeDocument/2006/relationships/hyperlink" Target="https://www.opten.hu/optijus/lawtext/1321?tvalid=2017.3.1.&amp;tpara=para29" TargetMode="External"/><Relationship Id="rId36" Type="http://schemas.openxmlformats.org/officeDocument/2006/relationships/hyperlink" Target="https://www.opten.hu/optijus/lawtext/1321" TargetMode="External"/><Relationship Id="rId10" Type="http://schemas.openxmlformats.org/officeDocument/2006/relationships/hyperlink" Target="https://www.opten.hu/optijus/lawtext/1321?tvalid=2017.3.1.&amp;tpara=para29" TargetMode="External"/><Relationship Id="rId19" Type="http://schemas.openxmlformats.org/officeDocument/2006/relationships/hyperlink" Target="https://www.opten.hu/optijus/lawtext/1321" TargetMode="External"/><Relationship Id="rId31" Type="http://schemas.openxmlformats.org/officeDocument/2006/relationships/hyperlink" Target="https://www.opten.hu/optijus/lawtext/1321?tvalid=2017.3.1.&amp;tpara=para2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pten.hu/optijus/lawtext/1321?tvalid=2017.3.1.&amp;tpara=para29" TargetMode="External"/><Relationship Id="rId14" Type="http://schemas.openxmlformats.org/officeDocument/2006/relationships/hyperlink" Target="https://www.opten.hu/optijus/lawtext/1321" TargetMode="External"/><Relationship Id="rId22" Type="http://schemas.openxmlformats.org/officeDocument/2006/relationships/hyperlink" Target="https://www.opten.hu/optijus/lawtext/1321" TargetMode="External"/><Relationship Id="rId27" Type="http://schemas.openxmlformats.org/officeDocument/2006/relationships/hyperlink" Target="https://www.opten.hu/optijus/lawtext/1321?tvalid=2017.3.1.&amp;tpara=para29" TargetMode="External"/><Relationship Id="rId30" Type="http://schemas.openxmlformats.org/officeDocument/2006/relationships/hyperlink" Target="https://www.opten.hu/optijus/lawtext/1321" TargetMode="External"/><Relationship Id="rId35" Type="http://schemas.openxmlformats.org/officeDocument/2006/relationships/hyperlink" Target="https://www.opten.hu/optijus/lawtext/132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2140</Words>
  <Characters>14773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2</cp:revision>
  <dcterms:created xsi:type="dcterms:W3CDTF">2018-02-13T15:09:00Z</dcterms:created>
  <dcterms:modified xsi:type="dcterms:W3CDTF">2018-02-13T15:25:00Z</dcterms:modified>
</cp:coreProperties>
</file>