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6967" w14:textId="07D1302B" w:rsidR="00B12081" w:rsidRPr="0042277F" w:rsidRDefault="00970050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2</w:t>
      </w:r>
      <w:r w:rsidR="00B12081">
        <w:rPr>
          <w:b/>
        </w:rPr>
        <w:t>.</w:t>
      </w:r>
      <w:r w:rsidR="00B12081" w:rsidRPr="0042277F">
        <w:rPr>
          <w:b/>
        </w:rPr>
        <w:t xml:space="preserve"> napirend</w:t>
      </w:r>
    </w:p>
    <w:p w14:paraId="059776F4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6932C1">
        <w:t>E l ő t e r j e s z t é s</w:t>
      </w:r>
    </w:p>
    <w:p w14:paraId="1EBB1CA6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7A7C76">
        <w:t>Balatonhenye Község Önkormányzata Képviselő-testületének</w:t>
      </w:r>
    </w:p>
    <w:p w14:paraId="0B46D404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Kékkút </w:t>
      </w:r>
      <w:r w:rsidRPr="007A7C76">
        <w:t>Község Önkormányzata Képviselő-testületének</w:t>
      </w:r>
    </w:p>
    <w:p w14:paraId="37404A69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Kővágóörs</w:t>
      </w:r>
      <w:r w:rsidRPr="007A7C76">
        <w:t xml:space="preserve"> Község Önkormányzata Képviselő-testületének</w:t>
      </w:r>
    </w:p>
    <w:p w14:paraId="38737763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Köveskál Község </w:t>
      </w:r>
      <w:r w:rsidRPr="007A7C76">
        <w:t>Önkormányzata Képviselő-testületének</w:t>
      </w:r>
    </w:p>
    <w:p w14:paraId="40B7D141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Mindszentkálla </w:t>
      </w:r>
      <w:r w:rsidRPr="007A7C76">
        <w:t>Község Önkormányzata Képviselő-testületének</w:t>
      </w:r>
    </w:p>
    <w:p w14:paraId="66E37E9B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Salföld Község</w:t>
      </w:r>
      <w:r w:rsidRPr="006932C1">
        <w:t xml:space="preserve"> </w:t>
      </w:r>
      <w:r w:rsidRPr="007A7C76">
        <w:t>Önkormányzata Képviselő-testületének</w:t>
      </w:r>
    </w:p>
    <w:p w14:paraId="407CF1E6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Szentbékkálla Község </w:t>
      </w:r>
      <w:r w:rsidRPr="007A7C76">
        <w:t>Önkormányzata Képviselő-testületének</w:t>
      </w:r>
    </w:p>
    <w:p w14:paraId="1458EC7C" w14:textId="77777777" w:rsidR="00B1208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Révfülöp Nagyközség Önkormányzata </w:t>
      </w:r>
      <w:r w:rsidRPr="007A7C76">
        <w:t>Képviselő-testületének</w:t>
      </w:r>
    </w:p>
    <w:p w14:paraId="3275020D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2021. szeptember 22-i együttes ülésére</w:t>
      </w:r>
    </w:p>
    <w:p w14:paraId="4DDC7E9E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</w:p>
    <w:p w14:paraId="1EF261B2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030A62">
        <w:rPr>
          <w:b/>
          <w:u w:val="single"/>
        </w:rPr>
        <w:t>Tárgy</w:t>
      </w:r>
      <w:r w:rsidRPr="00030A62">
        <w:rPr>
          <w:b/>
        </w:rPr>
        <w:t>:</w:t>
      </w:r>
      <w:r>
        <w:t xml:space="preserve"> A Kővágóörsi Közös Önkormányzati Hivatal Szervezeti és Működési Szabályzatának módosítása </w:t>
      </w:r>
    </w:p>
    <w:p w14:paraId="539AAB86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030A62">
        <w:rPr>
          <w:b/>
          <w:u w:val="single"/>
        </w:rPr>
        <w:t>Előterjesztő</w:t>
      </w:r>
      <w:r w:rsidRPr="00030A62">
        <w:rPr>
          <w:b/>
        </w:rPr>
        <w:t>:</w:t>
      </w:r>
      <w:r w:rsidRPr="006932C1">
        <w:t xml:space="preserve"> </w:t>
      </w:r>
      <w:r>
        <w:t>Dr. Szabó Tímea címzetes főjegyző</w:t>
      </w:r>
    </w:p>
    <w:p w14:paraId="6FB326EB" w14:textId="77777777" w:rsidR="00B12081" w:rsidRPr="006932C1" w:rsidRDefault="00B12081" w:rsidP="00B12081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030A62">
        <w:rPr>
          <w:b/>
          <w:u w:val="single"/>
        </w:rPr>
        <w:t>Előkészítette:</w:t>
      </w:r>
      <w:r>
        <w:t xml:space="preserve"> Dr. Szabó Tímea címzetes főjegyző</w:t>
      </w:r>
    </w:p>
    <w:p w14:paraId="46E8ED26" w14:textId="77777777" w:rsidR="00B12081" w:rsidRDefault="00B12081" w:rsidP="00B12081">
      <w:pPr>
        <w:pStyle w:val="lfej"/>
        <w:jc w:val="center"/>
        <w:rPr>
          <w:rFonts w:ascii="Lucida Sans Unicode" w:hAnsi="Lucida Sans Unicode" w:cs="Lucida Sans Unicode"/>
          <w:b/>
        </w:rPr>
      </w:pPr>
    </w:p>
    <w:p w14:paraId="70DE944F" w14:textId="77777777" w:rsidR="00B12081" w:rsidRDefault="00B12081" w:rsidP="00B12081">
      <w:pPr>
        <w:rPr>
          <w:b/>
        </w:rPr>
      </w:pPr>
      <w:r>
        <w:rPr>
          <w:b/>
        </w:rPr>
        <w:t>Tisztelt Képviselő-testületek!</w:t>
      </w:r>
    </w:p>
    <w:p w14:paraId="25EC7BCF" w14:textId="77777777" w:rsidR="00B12081" w:rsidRDefault="00B12081" w:rsidP="00B12081">
      <w:pPr>
        <w:rPr>
          <w:b/>
        </w:rPr>
      </w:pPr>
    </w:p>
    <w:p w14:paraId="7C567742" w14:textId="77777777" w:rsidR="00B12081" w:rsidRDefault="00B12081" w:rsidP="00B12081">
      <w:pPr>
        <w:jc w:val="both"/>
      </w:pPr>
      <w:r>
        <w:t xml:space="preserve">A Közös Hivatal 2020. február 10-e óta az addigi három vezetői státusz (jegyző, aljegyző, igazgatási csoportvezető) helyett kettővel (jegyző, aljegyző) működik. Az idei évben több esetben előfordult, hogy a jegyző és aljegyző alkalomszerű együttes távolléte esetén lett volna szükség kiadmányozásra – ez leginkább termőföld adásvételi szerződések kifüggesztésével összefüggésben merült fel, ahol például az ügyfél által beadott nyilatkozat átvételét aláírással igazolni kell. </w:t>
      </w:r>
    </w:p>
    <w:p w14:paraId="1C2A0E9F" w14:textId="77777777" w:rsidR="00B12081" w:rsidRDefault="00B12081" w:rsidP="00B12081">
      <w:pPr>
        <w:jc w:val="both"/>
      </w:pPr>
      <w:r>
        <w:t>A Közös Hivatal Szervezetis és Működési Szabályzata a kiadmányozásról jelenleg az alábbiak szerint rendelkezik:</w:t>
      </w:r>
    </w:p>
    <w:p w14:paraId="147FB61E" w14:textId="77777777" w:rsidR="00B12081" w:rsidRDefault="00B12081" w:rsidP="00B12081">
      <w:pPr>
        <w:jc w:val="both"/>
      </w:pPr>
    </w:p>
    <w:p w14:paraId="027A53E6" w14:textId="77777777" w:rsidR="00450228" w:rsidRPr="00043C93" w:rsidRDefault="00450228" w:rsidP="00450228">
      <w:pPr>
        <w:ind w:left="567"/>
        <w:jc w:val="both"/>
      </w:pPr>
      <w:r w:rsidRPr="00043C93">
        <w:t>A jegyző saját hatáskörében gyakorolja a kiadmányozás jogát. A jegyző távolléte esetén helyette a kiadmányozási jogot minden ügy tekintetében elsősorban az aljegyző, másodsorban az igazgatási csoportvezető gyakorolja. Az aljegyző és az igazgatási csoportvezető ezen túl valamennyi igazgatási ügy tekintetében kiadmányozási joggal rendelkezik.</w:t>
      </w:r>
    </w:p>
    <w:p w14:paraId="29F15E78" w14:textId="77777777" w:rsidR="00450228" w:rsidRPr="00043C93" w:rsidRDefault="00450228" w:rsidP="00450228">
      <w:pPr>
        <w:ind w:left="567"/>
        <w:jc w:val="both"/>
      </w:pPr>
      <w:r w:rsidRPr="00043C93">
        <w:t xml:space="preserve">Fentieken túl kiadmányozási joga van:     </w:t>
      </w:r>
    </w:p>
    <w:p w14:paraId="2BC1F91D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adóigazgatási ügyek tekintetében az adóügyi ügyintézőnek;</w:t>
      </w:r>
    </w:p>
    <w:p w14:paraId="4B7E9E02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kereskedelmi ügyek tekintetében a kereskedelmi ügyintézőnek;</w:t>
      </w:r>
    </w:p>
    <w:p w14:paraId="53808FB6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 lakcímnyilvántartás alapján feladatkörében kiadott hatósági bizonyítványok, valamint a népesség-nyilvántartással kapcsolatos ügyek tekintetében a hatósági ügyintézőnek;</w:t>
      </w:r>
    </w:p>
    <w:p w14:paraId="061622EB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hagyatéki ügyekben a hagyatéki ügyekben eljáró ügyintézőnek;</w:t>
      </w:r>
    </w:p>
    <w:p w14:paraId="1A465722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adó- és értékbizonyítványok tekintetében az adó- és értékbizonyítványokat kiállító ügyintézőnek;</w:t>
      </w:r>
    </w:p>
    <w:p w14:paraId="17896AF3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gyermekvédelmi ügyekben a szociális és gyermekvédelmi ügyintézőnek.</w:t>
      </w:r>
    </w:p>
    <w:p w14:paraId="0DD8BD94" w14:textId="77777777" w:rsidR="00450228" w:rsidRPr="00043C93" w:rsidRDefault="00450228" w:rsidP="00450228">
      <w:pPr>
        <w:ind w:left="567"/>
        <w:jc w:val="both"/>
      </w:pPr>
    </w:p>
    <w:p w14:paraId="4EED8D50" w14:textId="77777777" w:rsidR="00450228" w:rsidRPr="00043C93" w:rsidRDefault="00450228" w:rsidP="00450228">
      <w:pPr>
        <w:ind w:left="567"/>
        <w:jc w:val="both"/>
        <w:rPr>
          <w:u w:val="single"/>
        </w:rPr>
      </w:pPr>
      <w:r w:rsidRPr="00043C93">
        <w:rPr>
          <w:u w:val="single"/>
        </w:rPr>
        <w:t>A jegyző tartós távolléte idején a kiadmányozás rendje az alábbiak szerint alakul:</w:t>
      </w:r>
    </w:p>
    <w:p w14:paraId="0A5318E6" w14:textId="77777777" w:rsidR="00450228" w:rsidRDefault="00450228" w:rsidP="00450228">
      <w:pPr>
        <w:ind w:left="567"/>
        <w:jc w:val="both"/>
      </w:pPr>
      <w:r w:rsidRPr="00043C93">
        <w:t>A kiadmányozási jogot minden ügy tekintetében elsősorban a jegyzőt helyettesítő aljegyző, másodsorban az aljegyzőt helyettesítő igazgatási csoportvezető gyakorolja. A jegyzőt helyettesítő aljegyző és az aljegyzőt helyettesítő igazgatási csoportvezető valamennyi igazgatási ügy tekintetében kiadmányozási joggal rendelkezik.</w:t>
      </w:r>
    </w:p>
    <w:p w14:paraId="30EED312" w14:textId="77777777" w:rsidR="00212101" w:rsidRDefault="00212101" w:rsidP="00450228">
      <w:pPr>
        <w:jc w:val="both"/>
      </w:pPr>
    </w:p>
    <w:p w14:paraId="55243720" w14:textId="77777777" w:rsidR="00450228" w:rsidRDefault="00450228" w:rsidP="00450228">
      <w:pPr>
        <w:jc w:val="both"/>
      </w:pPr>
      <w:r>
        <w:lastRenderedPageBreak/>
        <w:t xml:space="preserve">E részt lenne célszerű kiegészíteni arra vonatkozó rendelkezéssel, hogy a vezetők együttes akadályoztatása esetén ki jogosult kiadmányozásra. </w:t>
      </w:r>
    </w:p>
    <w:p w14:paraId="69639B71" w14:textId="77777777" w:rsidR="00450228" w:rsidRDefault="00450228" w:rsidP="00450228">
      <w:pPr>
        <w:jc w:val="both"/>
      </w:pPr>
    </w:p>
    <w:p w14:paraId="2D4F2F92" w14:textId="77777777" w:rsidR="00450228" w:rsidRDefault="008458CC" w:rsidP="00450228">
      <w:pPr>
        <w:jc w:val="both"/>
      </w:pPr>
      <w:r>
        <w:t xml:space="preserve">A javasolt módosítás: </w:t>
      </w:r>
    </w:p>
    <w:p w14:paraId="51E0AEA2" w14:textId="77777777" w:rsidR="00450228" w:rsidRPr="00043C93" w:rsidRDefault="00450228" w:rsidP="00450228">
      <w:pPr>
        <w:ind w:left="567"/>
        <w:jc w:val="both"/>
      </w:pPr>
      <w:r w:rsidRPr="00043C93">
        <w:t xml:space="preserve">A jegyző saját hatáskörében gyakorolja a kiadmányozás jogát. A jegyző távolléte esetén helyette a kiadmányozási jogot minden ügy tekintetében elsősorban az aljegyző, másodsorban az igazgatási csoportvezető gyakorolja. </w:t>
      </w:r>
      <w:r w:rsidRPr="008458CC">
        <w:rPr>
          <w:highlight w:val="yellow"/>
        </w:rPr>
        <w:t>Amennyiben a Hivatal szervezetében nincs igazgatási csoportvezető kinevezve, vagy ő is akadályoztatva van, akkor a</w:t>
      </w:r>
      <w:r w:rsidR="008458CC">
        <w:rPr>
          <w:highlight w:val="yellow"/>
        </w:rPr>
        <w:t xml:space="preserve"> jegyző</w:t>
      </w:r>
      <w:r w:rsidRPr="008458CC">
        <w:rPr>
          <w:highlight w:val="yellow"/>
        </w:rPr>
        <w:t xml:space="preserve"> helyett –az aljegyzőt követően- kiadmányozásra jogosult a szociális és gyermekvédelmi ügyintéző vagy a Kővágóörs adóügyeit intéző adóügyi ügyintéző.</w:t>
      </w:r>
      <w:r w:rsidRPr="008458CC">
        <w:t xml:space="preserve"> </w:t>
      </w:r>
      <w:r w:rsidRPr="00043C93">
        <w:t>Az aljegyző és az igazgatási csoportvezető ezen túl valamennyi igazgatási ügy tekintetében kiadmányozási joggal rendelkezik.</w:t>
      </w:r>
    </w:p>
    <w:p w14:paraId="33985857" w14:textId="77777777" w:rsidR="00450228" w:rsidRDefault="00450228" w:rsidP="00450228">
      <w:pPr>
        <w:ind w:left="567"/>
        <w:jc w:val="both"/>
      </w:pPr>
    </w:p>
    <w:p w14:paraId="7681D320" w14:textId="77777777" w:rsidR="00450228" w:rsidRPr="00043C93" w:rsidRDefault="00450228" w:rsidP="00450228">
      <w:pPr>
        <w:ind w:left="567"/>
        <w:jc w:val="both"/>
      </w:pPr>
      <w:r w:rsidRPr="00043C93">
        <w:t xml:space="preserve">Fentieken túl kiadmányozási joga van:     </w:t>
      </w:r>
    </w:p>
    <w:p w14:paraId="6D8D6470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adóigazgatási ügyek tekintetében az adóügyi ügyintézőnek;</w:t>
      </w:r>
    </w:p>
    <w:p w14:paraId="64531997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kereskedelmi ügyek tekintetében a kereskedelmi ügyintézőnek;</w:t>
      </w:r>
    </w:p>
    <w:p w14:paraId="6309AE43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 lakcímnyilvántartás alapján feladatkörében kiadott hatósági bizonyítványok, valamint a népesség-nyilvántartással kapcsolatos ügyek tekintetében a hatósági ügyintézőnek;</w:t>
      </w:r>
    </w:p>
    <w:p w14:paraId="056F3C93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hagyatéki ügyekben a hagyatéki ügyekben eljáró ügyintézőnek;</w:t>
      </w:r>
    </w:p>
    <w:p w14:paraId="17738D06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adó- és értékbizonyítványok tekintetében az adó- és értékbizonyítványokat kiállító ügyintézőnek;</w:t>
      </w:r>
    </w:p>
    <w:p w14:paraId="46F5ECCE" w14:textId="77777777" w:rsidR="00450228" w:rsidRPr="00043C93" w:rsidRDefault="00450228" w:rsidP="00450228">
      <w:pPr>
        <w:pStyle w:val="Listaszerbekezds"/>
        <w:numPr>
          <w:ilvl w:val="0"/>
          <w:numId w:val="1"/>
        </w:numPr>
        <w:overflowPunct/>
        <w:autoSpaceDE/>
        <w:autoSpaceDN/>
        <w:adjustRightInd/>
        <w:spacing w:line="240" w:lineRule="auto"/>
        <w:ind w:left="567"/>
        <w:textAlignment w:val="auto"/>
        <w:rPr>
          <w:sz w:val="24"/>
          <w:szCs w:val="24"/>
        </w:rPr>
      </w:pPr>
      <w:r w:rsidRPr="00043C93">
        <w:rPr>
          <w:sz w:val="24"/>
          <w:szCs w:val="24"/>
        </w:rPr>
        <w:t>gyermekvédelmi ügyekben a szociális és gyermekvédelmi ügyintézőnek.</w:t>
      </w:r>
    </w:p>
    <w:p w14:paraId="638A7B91" w14:textId="77777777" w:rsidR="00450228" w:rsidRPr="00043C93" w:rsidRDefault="00450228" w:rsidP="00450228">
      <w:pPr>
        <w:ind w:left="567"/>
        <w:jc w:val="both"/>
      </w:pPr>
    </w:p>
    <w:p w14:paraId="52B3569F" w14:textId="77777777" w:rsidR="00450228" w:rsidRPr="00043C93" w:rsidRDefault="00450228" w:rsidP="00450228">
      <w:pPr>
        <w:ind w:left="567"/>
        <w:jc w:val="both"/>
        <w:rPr>
          <w:u w:val="single"/>
        </w:rPr>
      </w:pPr>
      <w:r w:rsidRPr="00043C93">
        <w:rPr>
          <w:u w:val="single"/>
        </w:rPr>
        <w:t>A jegyző tartós távolléte idején a kiadmányozás rendje az alábbiak szerint alakul:</w:t>
      </w:r>
    </w:p>
    <w:p w14:paraId="450EEFA6" w14:textId="77777777" w:rsidR="00450228" w:rsidRDefault="00450228" w:rsidP="00450228">
      <w:pPr>
        <w:ind w:left="567"/>
        <w:jc w:val="both"/>
      </w:pPr>
      <w:r w:rsidRPr="00043C93">
        <w:t xml:space="preserve">A kiadmányozási jogot minden ügy tekintetében elsősorban a jegyzőt helyettesítő aljegyző, másodsorban az aljegyzőt helyettesítő igazgatási csoportvezető gyakorolja. </w:t>
      </w:r>
      <w:r w:rsidRPr="008458CC">
        <w:rPr>
          <w:highlight w:val="yellow"/>
        </w:rPr>
        <w:t>Amennyiben a Hivatal szervezetében nincs igazgatási csoportvezető kinevezve, vagy ő is akadályoztatva van, akkor a</w:t>
      </w:r>
      <w:r w:rsidR="008458CC" w:rsidRPr="008458CC">
        <w:rPr>
          <w:highlight w:val="yellow"/>
        </w:rPr>
        <w:t xml:space="preserve"> jegyzőt</w:t>
      </w:r>
      <w:r w:rsidRPr="008458CC">
        <w:rPr>
          <w:highlight w:val="yellow"/>
        </w:rPr>
        <w:t xml:space="preserve"> helyettesítő aljegyző helyett –az aljegyzőt helyettesítő igazgatási csoportvezetőt követően- kiadmányozásra jogosult a szociális és gyermekvédelmi ügyintéző vagy a Kővágóörs adóügyeit intéző adóügyi ügyintéző.</w:t>
      </w:r>
      <w:r w:rsidRPr="008458CC">
        <w:t xml:space="preserve"> </w:t>
      </w:r>
      <w:r w:rsidRPr="00043C93">
        <w:t>A jegyzőt helyettesítő aljegyző és az aljegyzőt helyettesítő igazgatási csoportvezető valamennyi igazgatási ügy tekintetében kiadmányozási joggal rendelkezik.</w:t>
      </w:r>
    </w:p>
    <w:p w14:paraId="690C7DA2" w14:textId="77777777" w:rsidR="00B12081" w:rsidRPr="00B12081" w:rsidRDefault="00B12081" w:rsidP="00B12081">
      <w:pPr>
        <w:jc w:val="both"/>
      </w:pPr>
    </w:p>
    <w:p w14:paraId="1F3C90E3" w14:textId="77777777" w:rsidR="00B12081" w:rsidRDefault="00B12081" w:rsidP="00B12081">
      <w:pPr>
        <w:jc w:val="center"/>
        <w:rPr>
          <w:b/>
        </w:rPr>
      </w:pPr>
      <w:r>
        <w:rPr>
          <w:b/>
        </w:rPr>
        <w:t>HATÁROZATI JAVASLAT</w:t>
      </w:r>
    </w:p>
    <w:p w14:paraId="718F108E" w14:textId="77777777" w:rsidR="00B12081" w:rsidRDefault="00B12081" w:rsidP="00B12081">
      <w:pPr>
        <w:pStyle w:val="lfej"/>
        <w:jc w:val="center"/>
      </w:pPr>
      <w:r>
        <w:rPr>
          <w:b/>
        </w:rPr>
        <w:t>…………..……………(NAGY) KÖZSÉG ÖNKORMÁNYZATA KÉPVISELŐ-TESTÜLETÉNEK</w:t>
      </w:r>
    </w:p>
    <w:p w14:paraId="187B0B5A" w14:textId="77777777" w:rsidR="00212101" w:rsidRDefault="00B12081" w:rsidP="00212101">
      <w:pPr>
        <w:pStyle w:val="lfej"/>
        <w:jc w:val="center"/>
        <w:rPr>
          <w:b/>
        </w:rPr>
      </w:pPr>
      <w:r>
        <w:rPr>
          <w:b/>
        </w:rPr>
        <w:t>…/2021. (…..) HATÁROZATA</w:t>
      </w:r>
    </w:p>
    <w:p w14:paraId="436F4799" w14:textId="77777777" w:rsidR="008458CC" w:rsidRPr="00212101" w:rsidRDefault="00B12081" w:rsidP="00212101">
      <w:pPr>
        <w:pStyle w:val="lfej"/>
        <w:jc w:val="center"/>
        <w:rPr>
          <w:b/>
        </w:rPr>
      </w:pPr>
      <w:r>
        <w:rPr>
          <w:b/>
          <w:i/>
        </w:rPr>
        <w:t xml:space="preserve">A Kővágóörsi Közös Önkormányzati Hivatal </w:t>
      </w:r>
      <w:r w:rsidR="008458CC">
        <w:rPr>
          <w:b/>
          <w:i/>
        </w:rPr>
        <w:t xml:space="preserve">Szervezeti és Működési Szabályzatának módosításáról </w:t>
      </w:r>
    </w:p>
    <w:p w14:paraId="1F1A9280" w14:textId="77777777" w:rsidR="00B12081" w:rsidRDefault="00B12081" w:rsidP="00B12081">
      <w:pPr>
        <w:pStyle w:val="lfej"/>
        <w:jc w:val="center"/>
        <w:rPr>
          <w:b/>
          <w:i/>
        </w:rPr>
      </w:pPr>
    </w:p>
    <w:p w14:paraId="5972EAC7" w14:textId="77777777" w:rsidR="00B12081" w:rsidRDefault="00B12081" w:rsidP="00B12081">
      <w:pPr>
        <w:pStyle w:val="lfej"/>
        <w:jc w:val="center"/>
        <w:rPr>
          <w:b/>
        </w:rPr>
      </w:pPr>
    </w:p>
    <w:p w14:paraId="28A5A990" w14:textId="77777777" w:rsidR="008458CC" w:rsidRDefault="00B12081" w:rsidP="00B12081">
      <w:pPr>
        <w:jc w:val="both"/>
      </w:pPr>
      <w:r>
        <w:t xml:space="preserve">……………………(Nagy) Község Önkormányzata </w:t>
      </w:r>
      <w:r w:rsidR="008458CC">
        <w:t>Képviselő-testülete a Kővágóörsi Közös Önkormányzati Hivatal Szervezeti és Működési Szabályzata módosítását elfogadja.</w:t>
      </w:r>
    </w:p>
    <w:p w14:paraId="7666C7E9" w14:textId="77777777" w:rsidR="00212101" w:rsidRDefault="00212101" w:rsidP="00B12081">
      <w:pPr>
        <w:spacing w:line="360" w:lineRule="auto"/>
      </w:pPr>
    </w:p>
    <w:p w14:paraId="6010243D" w14:textId="77777777" w:rsidR="00B12081" w:rsidRDefault="00B12081" w:rsidP="00B12081">
      <w:pPr>
        <w:spacing w:line="360" w:lineRule="auto"/>
      </w:pPr>
      <w:r>
        <w:t>Kővágóörs, 2021. szeptember 1</w:t>
      </w:r>
      <w:r w:rsidR="008458CC">
        <w:t>6</w:t>
      </w:r>
      <w:r>
        <w:t xml:space="preserve">. </w:t>
      </w:r>
    </w:p>
    <w:p w14:paraId="664B15E5" w14:textId="77777777" w:rsidR="00B12081" w:rsidRDefault="00B12081" w:rsidP="00B12081">
      <w:pPr>
        <w:tabs>
          <w:tab w:val="center" w:pos="6379"/>
        </w:tabs>
        <w:ind w:firstLine="709"/>
      </w:pPr>
      <w:r>
        <w:tab/>
        <w:t>Dr. Szabó Tímea</w:t>
      </w:r>
    </w:p>
    <w:p w14:paraId="6993D4F2" w14:textId="77777777" w:rsidR="00B12081" w:rsidRDefault="00B12081" w:rsidP="00B12081">
      <w:pPr>
        <w:tabs>
          <w:tab w:val="center" w:pos="6379"/>
        </w:tabs>
      </w:pPr>
      <w:r>
        <w:tab/>
        <w:t>címzetes főjegyző</w:t>
      </w:r>
    </w:p>
    <w:p w14:paraId="675D3130" w14:textId="77777777" w:rsidR="00B12081" w:rsidRDefault="00B12081" w:rsidP="00B12081">
      <w:pPr>
        <w:tabs>
          <w:tab w:val="center" w:pos="6379"/>
        </w:tabs>
      </w:pPr>
    </w:p>
    <w:p w14:paraId="7D34E024" w14:textId="77777777" w:rsidR="006F2661" w:rsidRDefault="006F2661"/>
    <w:sectPr w:rsidR="006F2661" w:rsidSect="00FB2652">
      <w:headerReference w:type="default" r:id="rId7"/>
      <w:headerReference w:type="first" r:id="rId8"/>
      <w:pgSz w:w="11906" w:h="16838"/>
      <w:pgMar w:top="1417" w:right="1417" w:bottom="1135" w:left="1417" w:header="708" w:footer="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7E02" w14:textId="77777777" w:rsidR="00000000" w:rsidRDefault="00970050">
      <w:r>
        <w:separator/>
      </w:r>
    </w:p>
  </w:endnote>
  <w:endnote w:type="continuationSeparator" w:id="0">
    <w:p w14:paraId="0C6B53BB" w14:textId="77777777" w:rsidR="00000000" w:rsidRDefault="0097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BFE2" w14:textId="77777777" w:rsidR="00000000" w:rsidRDefault="00970050">
      <w:r>
        <w:separator/>
      </w:r>
    </w:p>
  </w:footnote>
  <w:footnote w:type="continuationSeparator" w:id="0">
    <w:p w14:paraId="0201B23A" w14:textId="77777777" w:rsidR="00000000" w:rsidRDefault="00970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9096" w14:textId="77777777" w:rsidR="004E1E96" w:rsidRDefault="00B12081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64E9FA7" wp14:editId="314F8D08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3E22AB2" w14:textId="77777777" w:rsidR="004E1E96" w:rsidRDefault="00212101">
                          <w:pPr>
                            <w:pStyle w:val="lfej"/>
                            <w:rPr>
                              <w:rStyle w:val="Oldalszm"/>
                            </w:rPr>
                          </w:pPr>
                          <w:r>
                            <w:rPr>
                              <w:rStyle w:val="Oldalszm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</w:rPr>
                            <w:instrText>PAGE</w:instrText>
                          </w:r>
                          <w:r>
                            <w:rPr>
                              <w:rStyle w:val="Oldalszm"/>
                            </w:rPr>
                            <w:fldChar w:fldCharType="separate"/>
                          </w:r>
                          <w:r>
                            <w:rPr>
                              <w:rStyle w:val="Oldalszm"/>
                              <w:noProof/>
                            </w:rPr>
                            <w:t>2</w:t>
                          </w:r>
                          <w:r>
                            <w:rPr>
                              <w:rStyle w:val="Oldalszm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4E9FA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.05pt;width:6.0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" stroked="f">
              <v:fill opacity="0"/>
              <v:textbox inset="0,0,0,0">
                <w:txbxContent>
                  <w:p w14:paraId="53E22AB2" w14:textId="77777777" w:rsidR="004E1E96" w:rsidRDefault="00212101">
                    <w:pPr>
                      <w:pStyle w:val="lfej"/>
                      <w:rPr>
                        <w:rStyle w:val="Oldalszm"/>
                      </w:rPr>
                    </w:pPr>
                    <w:r>
                      <w:rPr>
                        <w:rStyle w:val="Oldalszm"/>
                      </w:rPr>
                      <w:fldChar w:fldCharType="begin"/>
                    </w:r>
                    <w:r>
                      <w:rPr>
                        <w:rStyle w:val="Oldalszm"/>
                      </w:rPr>
                      <w:instrText>PAGE</w:instrText>
                    </w:r>
                    <w:r>
                      <w:rPr>
                        <w:rStyle w:val="Oldalszm"/>
                      </w:rPr>
                      <w:fldChar w:fldCharType="separate"/>
                    </w:r>
                    <w:r>
                      <w:rPr>
                        <w:rStyle w:val="Oldalszm"/>
                        <w:noProof/>
                      </w:rPr>
                      <w:t>2</w:t>
                    </w:r>
                    <w:r>
                      <w:rPr>
                        <w:rStyle w:val="Oldalszm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0738E" w14:textId="77777777" w:rsidR="004E1E96" w:rsidRDefault="009700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02CD2"/>
    <w:multiLevelType w:val="hybridMultilevel"/>
    <w:tmpl w:val="6B1A2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081"/>
    <w:rsid w:val="00212101"/>
    <w:rsid w:val="00450228"/>
    <w:rsid w:val="006F2661"/>
    <w:rsid w:val="008458CC"/>
    <w:rsid w:val="00970050"/>
    <w:rsid w:val="00B1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646D"/>
  <w15:chartTrackingRefBased/>
  <w15:docId w15:val="{8B39EA48-A744-42C1-9831-AE1BCB6B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12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rsid w:val="00B12081"/>
  </w:style>
  <w:style w:type="paragraph" w:styleId="Szvegtrzs">
    <w:name w:val="Body Text"/>
    <w:basedOn w:val="Norml"/>
    <w:link w:val="SzvegtrzsChar"/>
    <w:rsid w:val="00B12081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B120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rsid w:val="00B1208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B1208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Web">
    <w:name w:val="Normal (Web)"/>
    <w:basedOn w:val="Norml"/>
    <w:qFormat/>
    <w:rsid w:val="00B12081"/>
    <w:pPr>
      <w:suppressAutoHyphens/>
      <w:spacing w:before="280" w:after="280"/>
    </w:pPr>
  </w:style>
  <w:style w:type="paragraph" w:styleId="Alcm">
    <w:name w:val="Subtitle"/>
    <w:basedOn w:val="Norml"/>
    <w:next w:val="Szvegtrzs"/>
    <w:link w:val="AlcmChar"/>
    <w:qFormat/>
    <w:rsid w:val="00B12081"/>
    <w:pPr>
      <w:suppressAutoHyphens/>
    </w:pPr>
    <w:rPr>
      <w:szCs w:val="20"/>
      <w:lang w:val="x-none" w:eastAsia="ar-SA"/>
    </w:rPr>
  </w:style>
  <w:style w:type="character" w:customStyle="1" w:styleId="AlcmChar">
    <w:name w:val="Alcím Char"/>
    <w:basedOn w:val="Bekezdsalapbettpusa"/>
    <w:link w:val="Alcm"/>
    <w:rsid w:val="00B1208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Listaszerbekezds">
    <w:name w:val="List Paragraph"/>
    <w:basedOn w:val="Norml"/>
    <w:uiPriority w:val="34"/>
    <w:qFormat/>
    <w:rsid w:val="00450228"/>
    <w:pPr>
      <w:overflowPunct w:val="0"/>
      <w:autoSpaceDE w:val="0"/>
      <w:autoSpaceDN w:val="0"/>
      <w:adjustRightInd w:val="0"/>
      <w:spacing w:line="360" w:lineRule="auto"/>
      <w:ind w:left="720"/>
      <w:contextualSpacing/>
      <w:jc w:val="both"/>
      <w:textAlignment w:val="baseline"/>
    </w:pPr>
    <w:rPr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653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SzaboTimea</dc:creator>
  <cp:keywords/>
  <dc:description/>
  <cp:lastModifiedBy>Eszter Nagy</cp:lastModifiedBy>
  <cp:revision>2</cp:revision>
  <dcterms:created xsi:type="dcterms:W3CDTF">2021-09-16T08:55:00Z</dcterms:created>
  <dcterms:modified xsi:type="dcterms:W3CDTF">2021-09-16T13:25:00Z</dcterms:modified>
</cp:coreProperties>
</file>